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07875" w:rsidR="00C03CED" w:rsidP="009B0664" w:rsidRDefault="00C03CED" w14:paraId="52522B1A" w14:textId="01CE2EDB">
      <w:pPr>
        <w:jc w:val="center"/>
        <w:rPr>
          <w:u w:val="single"/>
          <w:lang w:val="pt-BR"/>
        </w:rPr>
      </w:pPr>
    </w:p>
    <w:p w:rsidRPr="004E5B1D" w:rsidR="00C03CED" w:rsidRDefault="00C03CED" w14:paraId="6BE8081E" w14:textId="77777777">
      <w:pPr>
        <w:pStyle w:val="BodyText"/>
        <w:rPr>
          <w:rFonts w:ascii="Carlito"/>
          <w:sz w:val="28"/>
          <w:szCs w:val="28"/>
          <w:lang w:val="pt-BR"/>
        </w:rPr>
      </w:pPr>
    </w:p>
    <w:p w:rsidRPr="004E5B1D" w:rsidR="00C03CED" w:rsidRDefault="00C03CED" w14:paraId="3F8C6A2C" w14:textId="77777777">
      <w:pPr>
        <w:pStyle w:val="BodyText"/>
        <w:spacing w:before="4"/>
        <w:rPr>
          <w:rFonts w:ascii="Carlito"/>
          <w:sz w:val="28"/>
          <w:szCs w:val="28"/>
          <w:lang w:val="pt-BR"/>
        </w:rPr>
      </w:pPr>
    </w:p>
    <w:p w:rsidRPr="004E5B1D" w:rsidR="00C03CED" w:rsidP="00846685" w:rsidRDefault="00991B13" w14:paraId="08D1FCD2" w14:textId="18B31942">
      <w:pPr>
        <w:pStyle w:val="Heading2"/>
        <w:spacing w:before="91"/>
        <w:ind w:left="0"/>
        <w:jc w:val="center"/>
        <w:rPr>
          <w:sz w:val="24"/>
          <w:szCs w:val="24"/>
          <w:lang w:val="pt-BR"/>
        </w:rPr>
      </w:pPr>
      <w:r w:rsidRPr="004E5B1D">
        <w:rPr>
          <w:sz w:val="24"/>
          <w:szCs w:val="24"/>
          <w:lang w:val="pt-BR"/>
        </w:rPr>
        <w:t xml:space="preserve">PROCEDIMENTO ARBITRAL CCI </w:t>
      </w:r>
      <w:r w:rsidRPr="004E5B1D" w:rsidR="0050723C">
        <w:rPr>
          <w:sz w:val="24"/>
          <w:szCs w:val="24"/>
          <w:lang w:val="pt-BR"/>
        </w:rPr>
        <w:t>23433</w:t>
      </w:r>
      <w:r w:rsidRPr="004E5B1D">
        <w:rPr>
          <w:sz w:val="24"/>
          <w:szCs w:val="24"/>
          <w:lang w:val="pt-BR"/>
        </w:rPr>
        <w:t>/</w:t>
      </w:r>
      <w:r w:rsidRPr="004E5B1D" w:rsidR="0050723C">
        <w:rPr>
          <w:sz w:val="24"/>
          <w:szCs w:val="24"/>
          <w:lang w:val="pt-BR"/>
        </w:rPr>
        <w:t>GSS/PFF</w:t>
      </w:r>
    </w:p>
    <w:p w:rsidRPr="004E5B1D" w:rsidR="00846685" w:rsidP="00846685" w:rsidRDefault="00846685" w14:paraId="6BD00DA3" w14:textId="3224CA3C">
      <w:pPr>
        <w:pStyle w:val="Heading2"/>
        <w:spacing w:before="91"/>
        <w:ind w:left="0"/>
        <w:jc w:val="center"/>
        <w:rPr>
          <w:sz w:val="24"/>
          <w:szCs w:val="24"/>
          <w:lang w:val="pt-BR"/>
        </w:rPr>
      </w:pPr>
      <w:r w:rsidRPr="004E5B1D">
        <w:rPr>
          <w:sz w:val="24"/>
          <w:szCs w:val="24"/>
          <w:lang w:val="pt-BR"/>
        </w:rPr>
        <w:t>CORTE INTERNACIONAL DE ARBITRAGEM</w:t>
      </w:r>
    </w:p>
    <w:p w:rsidRPr="004E5B1D" w:rsidR="00C03CED" w:rsidRDefault="00C03CED" w14:paraId="7ADCA7CD" w14:textId="77777777">
      <w:pPr>
        <w:pStyle w:val="BodyText"/>
        <w:rPr>
          <w:b/>
          <w:sz w:val="24"/>
          <w:szCs w:val="24"/>
          <w:lang w:val="pt-BR"/>
        </w:rPr>
      </w:pPr>
    </w:p>
    <w:p w:rsidRPr="004E5B1D" w:rsidR="00C03CED" w:rsidRDefault="00C03CED" w14:paraId="7E1E676B" w14:textId="77777777">
      <w:pPr>
        <w:pStyle w:val="BodyText"/>
        <w:rPr>
          <w:b/>
          <w:sz w:val="24"/>
          <w:szCs w:val="24"/>
          <w:lang w:val="pt-BR"/>
        </w:rPr>
      </w:pPr>
    </w:p>
    <w:p w:rsidRPr="004E5B1D" w:rsidR="00C03CED" w:rsidRDefault="00C03CED" w14:paraId="125DF45A" w14:textId="77777777">
      <w:pPr>
        <w:pStyle w:val="BodyText"/>
        <w:rPr>
          <w:b/>
          <w:sz w:val="24"/>
          <w:szCs w:val="24"/>
          <w:lang w:val="pt-BR"/>
        </w:rPr>
      </w:pPr>
    </w:p>
    <w:p w:rsidRPr="004E5B1D" w:rsidR="00C03CED" w:rsidRDefault="00C03CED" w14:paraId="3973EAF3" w14:textId="77777777">
      <w:pPr>
        <w:pStyle w:val="BodyText"/>
        <w:rPr>
          <w:b/>
          <w:sz w:val="24"/>
          <w:szCs w:val="24"/>
          <w:lang w:val="pt-BR"/>
        </w:rPr>
      </w:pPr>
    </w:p>
    <w:p w:rsidRPr="004E5B1D" w:rsidR="00C03CED" w:rsidRDefault="00C03CED" w14:paraId="2F094658" w14:textId="77777777">
      <w:pPr>
        <w:pStyle w:val="BodyText"/>
        <w:rPr>
          <w:b/>
          <w:sz w:val="24"/>
          <w:szCs w:val="24"/>
          <w:lang w:val="pt-BR"/>
        </w:rPr>
      </w:pPr>
    </w:p>
    <w:p w:rsidRPr="004E5B1D" w:rsidR="00C03CED" w:rsidRDefault="00C03CED" w14:paraId="11DC5E2F" w14:textId="77777777">
      <w:pPr>
        <w:pStyle w:val="BodyText"/>
        <w:pBdr>
          <w:bottom w:val="single" w:color="auto" w:sz="12" w:space="1"/>
        </w:pBdr>
        <w:rPr>
          <w:b/>
          <w:sz w:val="24"/>
          <w:szCs w:val="24"/>
          <w:lang w:val="pt-BR"/>
        </w:rPr>
      </w:pPr>
    </w:p>
    <w:p w:rsidRPr="004E5B1D" w:rsidR="009B0664" w:rsidP="009B0664" w:rsidRDefault="009B0664" w14:paraId="41952A33" w14:textId="77777777">
      <w:pPr>
        <w:pStyle w:val="BodyText"/>
        <w:rPr>
          <w:b/>
          <w:sz w:val="24"/>
          <w:szCs w:val="24"/>
          <w:lang w:val="pt-BR"/>
        </w:rPr>
      </w:pPr>
    </w:p>
    <w:p w:rsidRPr="004E5B1D" w:rsidR="00C03CED" w:rsidP="5DA7E55A" w:rsidRDefault="00D85840" w14:paraId="138781B7" w14:textId="3E2F25A8">
      <w:pPr>
        <w:pStyle w:val="BodyText"/>
        <w:jc w:val="center"/>
        <w:rPr>
          <w:b w:val="1"/>
          <w:bCs w:val="1"/>
          <w:sz w:val="24"/>
          <w:szCs w:val="24"/>
          <w:lang w:val="pt-BR"/>
        </w:rPr>
      </w:pPr>
      <w:r w:rsidRPr="6AFB895A" w:rsidR="00D85840">
        <w:rPr>
          <w:b w:val="1"/>
          <w:bCs w:val="1"/>
          <w:sz w:val="24"/>
          <w:szCs w:val="24"/>
          <w:lang w:val="pt-BR"/>
        </w:rPr>
        <w:t xml:space="preserve">MANIFESTAÇÃO </w:t>
      </w:r>
      <w:r w:rsidRPr="6AFB895A" w:rsidR="00C049F6">
        <w:rPr>
          <w:b w:val="1"/>
          <w:bCs w:val="1"/>
          <w:sz w:val="24"/>
          <w:szCs w:val="24"/>
          <w:lang w:val="pt-BR"/>
        </w:rPr>
        <w:t xml:space="preserve">CONJUNTA </w:t>
      </w:r>
      <w:r w:rsidRPr="6AFB895A" w:rsidR="00D85840">
        <w:rPr>
          <w:b w:val="1"/>
          <w:bCs w:val="1"/>
          <w:sz w:val="24"/>
          <w:szCs w:val="24"/>
          <w:lang w:val="pt-BR"/>
        </w:rPr>
        <w:t xml:space="preserve">SOBRE </w:t>
      </w:r>
      <w:r w:rsidRPr="6AFB895A" w:rsidR="0050723C">
        <w:rPr>
          <w:b w:val="1"/>
          <w:bCs w:val="1"/>
          <w:sz w:val="24"/>
          <w:szCs w:val="24"/>
          <w:lang w:val="pt-BR"/>
        </w:rPr>
        <w:t>PROCESSOS ADMINI</w:t>
      </w:r>
      <w:r w:rsidRPr="6AFB895A" w:rsidR="4541269D">
        <w:rPr>
          <w:b w:val="1"/>
          <w:bCs w:val="1"/>
          <w:sz w:val="24"/>
          <w:szCs w:val="24"/>
          <w:lang w:val="pt-BR"/>
        </w:rPr>
        <w:t>S</w:t>
      </w:r>
      <w:r w:rsidRPr="6AFB895A" w:rsidR="0050723C">
        <w:rPr>
          <w:b w:val="1"/>
          <w:bCs w:val="1"/>
          <w:sz w:val="24"/>
          <w:szCs w:val="24"/>
          <w:lang w:val="pt-BR"/>
        </w:rPr>
        <w:t>TRATIVOS</w:t>
      </w:r>
      <w:r w:rsidRPr="6AFB895A" w:rsidR="00D241AA">
        <w:rPr>
          <w:b w:val="1"/>
          <w:bCs w:val="1"/>
          <w:sz w:val="24"/>
          <w:szCs w:val="24"/>
          <w:lang w:val="pt-BR"/>
        </w:rPr>
        <w:t xml:space="preserve"> DE APLICAÇÃO DE MULTAS</w:t>
      </w:r>
      <w:r w:rsidRPr="6AFB895A" w:rsidR="00E71979">
        <w:rPr>
          <w:b w:val="1"/>
          <w:bCs w:val="1"/>
          <w:sz w:val="24"/>
          <w:szCs w:val="24"/>
          <w:lang w:val="pt-BR"/>
        </w:rPr>
        <w:t xml:space="preserve"> NÃO QUITADAS</w:t>
      </w:r>
      <w:r w:rsidRPr="6AFB895A" w:rsidR="00705FEA">
        <w:rPr>
          <w:b w:val="1"/>
          <w:bCs w:val="1"/>
          <w:sz w:val="24"/>
          <w:szCs w:val="24"/>
          <w:lang w:val="pt-BR"/>
        </w:rPr>
        <w:t xml:space="preserve"> E</w:t>
      </w:r>
      <w:r w:rsidRPr="6AFB895A" w:rsidR="00E71979">
        <w:rPr>
          <w:b w:val="1"/>
          <w:bCs w:val="1"/>
          <w:sz w:val="24"/>
          <w:szCs w:val="24"/>
          <w:lang w:val="pt-BR"/>
        </w:rPr>
        <w:t xml:space="preserve"> DE</w:t>
      </w:r>
      <w:r w:rsidRPr="6AFB895A" w:rsidR="00705FEA">
        <w:rPr>
          <w:b w:val="1"/>
          <w:bCs w:val="1"/>
          <w:sz w:val="24"/>
          <w:szCs w:val="24"/>
          <w:lang w:val="pt-BR"/>
        </w:rPr>
        <w:t xml:space="preserve"> VERBAS DE FISCALIZAÇÃO</w:t>
      </w:r>
    </w:p>
    <w:p w:rsidRPr="004E5B1D" w:rsidR="00C03CED" w:rsidRDefault="00C03CED" w14:paraId="50881682" w14:textId="77777777">
      <w:pPr>
        <w:pStyle w:val="BodyText"/>
        <w:pBdr>
          <w:bottom w:val="single" w:color="auto" w:sz="12" w:space="1"/>
        </w:pBdr>
        <w:rPr>
          <w:b/>
          <w:sz w:val="24"/>
          <w:szCs w:val="24"/>
          <w:lang w:val="pt-BR"/>
        </w:rPr>
      </w:pPr>
    </w:p>
    <w:p w:rsidRPr="004E5B1D" w:rsidR="00C03CED" w:rsidRDefault="00C03CED" w14:paraId="5CC22EEA" w14:textId="77777777">
      <w:pPr>
        <w:pStyle w:val="BodyText"/>
        <w:rPr>
          <w:b/>
          <w:sz w:val="24"/>
          <w:szCs w:val="24"/>
          <w:lang w:val="pt-BR"/>
        </w:rPr>
      </w:pPr>
    </w:p>
    <w:p w:rsidRPr="004E5B1D" w:rsidR="009B0664" w:rsidRDefault="009B0664" w14:paraId="3DB6DFA4" w14:textId="2BAE6BEC">
      <w:pPr>
        <w:pStyle w:val="BodyText"/>
        <w:rPr>
          <w:b/>
          <w:sz w:val="24"/>
          <w:szCs w:val="24"/>
          <w:lang w:val="pt-BR"/>
        </w:rPr>
      </w:pPr>
    </w:p>
    <w:p w:rsidRPr="004E5B1D" w:rsidR="00215781" w:rsidP="00846685" w:rsidRDefault="00970954" w14:paraId="755B90D2" w14:textId="72957382">
      <w:pPr>
        <w:jc w:val="center"/>
        <w:rPr>
          <w:strike/>
          <w:sz w:val="24"/>
          <w:szCs w:val="24"/>
          <w:lang w:val="pt-BR"/>
        </w:rPr>
      </w:pPr>
      <w:r>
        <w:rPr>
          <w:sz w:val="24"/>
          <w:szCs w:val="24"/>
          <w:lang w:val="pt-BR"/>
        </w:rPr>
        <w:t>CONCESSIONÁRIA DE RODOVIAS GALVÃO BR-153 S/A</w:t>
      </w:r>
    </w:p>
    <w:p w:rsidRPr="004E5B1D" w:rsidR="009B0664" w:rsidP="009B0664" w:rsidRDefault="00991B13" w14:paraId="6E3C1D17" w14:textId="7C7D7E19">
      <w:pPr>
        <w:jc w:val="center"/>
        <w:rPr>
          <w:sz w:val="24"/>
          <w:szCs w:val="24"/>
          <w:lang w:val="pt-BR"/>
        </w:rPr>
      </w:pPr>
      <w:r w:rsidRPr="004E5B1D">
        <w:rPr>
          <w:sz w:val="24"/>
          <w:szCs w:val="24"/>
          <w:lang w:val="pt-BR"/>
        </w:rPr>
        <w:t>(Requerente)</w:t>
      </w:r>
    </w:p>
    <w:p w:rsidRPr="004E5B1D" w:rsidR="00C03CED" w:rsidP="009B0664" w:rsidRDefault="00C03CED" w14:paraId="4F311575" w14:textId="28C0BF26">
      <w:pPr>
        <w:jc w:val="center"/>
        <w:rPr>
          <w:sz w:val="24"/>
          <w:szCs w:val="24"/>
          <w:lang w:val="pt-BR"/>
        </w:rPr>
      </w:pPr>
    </w:p>
    <w:p w:rsidRPr="004E5B1D" w:rsidR="00215781" w:rsidP="009B0664" w:rsidRDefault="00215781" w14:paraId="0571CE34" w14:textId="7C40C94B">
      <w:pPr>
        <w:jc w:val="center"/>
        <w:rPr>
          <w:sz w:val="24"/>
          <w:szCs w:val="24"/>
          <w:lang w:val="pt-BR"/>
        </w:rPr>
      </w:pPr>
      <w:r w:rsidRPr="004E5B1D">
        <w:rPr>
          <w:sz w:val="24"/>
          <w:szCs w:val="24"/>
          <w:lang w:val="pt-BR"/>
        </w:rPr>
        <w:t>x</w:t>
      </w:r>
    </w:p>
    <w:p w:rsidRPr="004E5B1D" w:rsidR="00215781" w:rsidP="009B0664" w:rsidRDefault="00215781" w14:paraId="4DC32506" w14:textId="77777777">
      <w:pPr>
        <w:jc w:val="center"/>
        <w:rPr>
          <w:sz w:val="24"/>
          <w:szCs w:val="24"/>
          <w:lang w:val="pt-BR"/>
        </w:rPr>
      </w:pPr>
    </w:p>
    <w:p w:rsidRPr="004E5B1D" w:rsidR="00144CA1" w:rsidP="00144CA1" w:rsidRDefault="00991B13" w14:paraId="6D16F738" w14:textId="25171FB3">
      <w:pPr>
        <w:jc w:val="center"/>
        <w:rPr>
          <w:sz w:val="24"/>
          <w:szCs w:val="24"/>
          <w:lang w:val="pt-BR"/>
        </w:rPr>
      </w:pPr>
      <w:r w:rsidRPr="004E5B1D">
        <w:rPr>
          <w:sz w:val="24"/>
          <w:szCs w:val="24"/>
          <w:lang w:val="pt-BR"/>
        </w:rPr>
        <w:t>Agência Nacional de Transportes Terrestres – ANTT</w:t>
      </w:r>
    </w:p>
    <w:p w:rsidRPr="004E5B1D" w:rsidR="00C03CED" w:rsidP="00FE6801" w:rsidRDefault="00991B13" w14:paraId="2910FEA0" w14:textId="2C82380B">
      <w:pPr>
        <w:jc w:val="center"/>
        <w:rPr>
          <w:sz w:val="24"/>
          <w:szCs w:val="24"/>
          <w:lang w:val="pt-BR"/>
        </w:rPr>
      </w:pPr>
      <w:r w:rsidRPr="004E5B1D">
        <w:rPr>
          <w:sz w:val="24"/>
          <w:szCs w:val="24"/>
          <w:lang w:val="pt-BR"/>
        </w:rPr>
        <w:t>(Requerida</w:t>
      </w:r>
      <w:r w:rsidR="004E1D4D">
        <w:rPr>
          <w:sz w:val="24"/>
          <w:szCs w:val="24"/>
          <w:lang w:val="pt-BR"/>
        </w:rPr>
        <w:t xml:space="preserve"> 1</w:t>
      </w:r>
      <w:r w:rsidRPr="004E5B1D" w:rsidR="00FE6801">
        <w:rPr>
          <w:sz w:val="24"/>
          <w:szCs w:val="24"/>
          <w:lang w:val="pt-BR"/>
        </w:rPr>
        <w:t>)</w:t>
      </w:r>
    </w:p>
    <w:p w:rsidRPr="004E5B1D" w:rsidR="00C03CED" w:rsidRDefault="00C03CED" w14:paraId="294A6173" w14:textId="77777777">
      <w:pPr>
        <w:jc w:val="center"/>
        <w:rPr>
          <w:sz w:val="24"/>
          <w:szCs w:val="24"/>
          <w:lang w:val="pt-BR"/>
        </w:rPr>
      </w:pPr>
    </w:p>
    <w:p w:rsidRPr="004E5B1D" w:rsidR="00144CA1" w:rsidRDefault="00144CA1" w14:paraId="46F6CF18" w14:textId="77777777">
      <w:pPr>
        <w:jc w:val="center"/>
        <w:rPr>
          <w:sz w:val="24"/>
          <w:szCs w:val="24"/>
          <w:lang w:val="pt-BR"/>
        </w:rPr>
      </w:pPr>
    </w:p>
    <w:p w:rsidRPr="004E5B1D" w:rsidR="00144CA1" w:rsidP="00144CA1" w:rsidRDefault="00144CA1" w14:paraId="564899F2" w14:textId="27317E07">
      <w:pPr>
        <w:jc w:val="center"/>
        <w:rPr>
          <w:sz w:val="24"/>
          <w:szCs w:val="24"/>
          <w:lang w:val="pt-BR"/>
        </w:rPr>
      </w:pPr>
      <w:r w:rsidRPr="004E5B1D">
        <w:rPr>
          <w:sz w:val="24"/>
          <w:szCs w:val="24"/>
          <w:lang w:val="pt-BR"/>
        </w:rPr>
        <w:t>União</w:t>
      </w:r>
    </w:p>
    <w:p w:rsidRPr="004E5B1D" w:rsidR="00144CA1" w:rsidP="00144CA1" w:rsidRDefault="00144CA1" w14:paraId="0C0500CB" w14:textId="24AA28D3">
      <w:pPr>
        <w:jc w:val="center"/>
        <w:rPr>
          <w:sz w:val="24"/>
          <w:szCs w:val="24"/>
          <w:lang w:val="pt-BR"/>
        </w:rPr>
        <w:sectPr w:rsidRPr="004E5B1D" w:rsidR="00144CA1">
          <w:headerReference w:type="default" r:id="rId11"/>
          <w:footerReference w:type="default" r:id="rId12"/>
          <w:type w:val="continuous"/>
          <w:pgSz w:w="11910" w:h="16840" w:orient="portrait"/>
          <w:pgMar w:top="380" w:right="480" w:bottom="280" w:left="1020" w:header="720" w:footer="720" w:gutter="0"/>
          <w:cols w:space="720"/>
        </w:sectPr>
      </w:pPr>
      <w:r w:rsidRPr="004E5B1D">
        <w:rPr>
          <w:sz w:val="24"/>
          <w:szCs w:val="24"/>
          <w:lang w:val="pt-BR"/>
        </w:rPr>
        <w:t>(Requerida 2)</w:t>
      </w:r>
    </w:p>
    <w:p w:rsidRPr="004E5B1D" w:rsidR="00C03CED" w:rsidRDefault="00C03CED" w14:paraId="18801258" w14:textId="77777777">
      <w:pPr>
        <w:pStyle w:val="BodyText"/>
        <w:spacing w:before="2"/>
        <w:rPr>
          <w:b/>
          <w:sz w:val="20"/>
          <w:lang w:val="pt-BR"/>
        </w:rPr>
      </w:pPr>
    </w:p>
    <w:p w:rsidRPr="004E5B1D" w:rsidR="00560535" w:rsidRDefault="00560535" w14:paraId="667595C9" w14:textId="77777777">
      <w:pPr>
        <w:pStyle w:val="BodyText"/>
        <w:spacing w:before="2"/>
        <w:rPr>
          <w:b/>
          <w:sz w:val="20"/>
          <w:lang w:val="pt-BR"/>
        </w:rPr>
      </w:pPr>
    </w:p>
    <w:p w:rsidRPr="004E5B1D" w:rsidR="00560535" w:rsidRDefault="00560535" w14:paraId="3C59B883" w14:textId="77777777">
      <w:pPr>
        <w:pStyle w:val="BodyText"/>
        <w:spacing w:before="2"/>
        <w:rPr>
          <w:b/>
          <w:sz w:val="20"/>
          <w:lang w:val="pt-BR"/>
        </w:rPr>
      </w:pPr>
    </w:p>
    <w:p w:rsidRPr="004E5B1D" w:rsidR="00560535" w:rsidRDefault="00560535" w14:paraId="2D6A4C2C" w14:textId="77777777">
      <w:pPr>
        <w:pStyle w:val="BodyText"/>
        <w:spacing w:before="2"/>
        <w:rPr>
          <w:b/>
          <w:sz w:val="24"/>
          <w:szCs w:val="24"/>
          <w:lang w:val="pt-BR"/>
        </w:rPr>
      </w:pPr>
    </w:p>
    <w:p w:rsidRPr="004E5B1D" w:rsidR="00560535" w:rsidP="0056464F" w:rsidRDefault="0056464F" w14:paraId="27EDC7D9" w14:textId="6BA3019E">
      <w:pPr>
        <w:pStyle w:val="BodyText"/>
        <w:spacing w:before="2"/>
        <w:jc w:val="center"/>
        <w:rPr>
          <w:b/>
          <w:sz w:val="24"/>
          <w:szCs w:val="24"/>
          <w:lang w:val="pt-BR"/>
        </w:rPr>
      </w:pPr>
      <w:r w:rsidRPr="004E5B1D">
        <w:rPr>
          <w:b/>
          <w:sz w:val="24"/>
          <w:szCs w:val="24"/>
          <w:lang w:val="pt-BR"/>
        </w:rPr>
        <w:t>TRIBUNAL ARBITRAL</w:t>
      </w:r>
    </w:p>
    <w:p w:rsidRPr="004E5B1D" w:rsidR="0056464F" w:rsidP="0056464F" w:rsidRDefault="0056464F" w14:paraId="6781FE76" w14:textId="010BDCA6">
      <w:pPr>
        <w:pStyle w:val="BodyText"/>
        <w:spacing w:before="2"/>
        <w:jc w:val="center"/>
        <w:rPr>
          <w:b/>
          <w:sz w:val="24"/>
          <w:szCs w:val="24"/>
          <w:lang w:val="pt-BR"/>
        </w:rPr>
      </w:pPr>
    </w:p>
    <w:p w:rsidRPr="004E5B1D" w:rsidR="0056464F" w:rsidP="0056464F" w:rsidRDefault="00970954" w14:paraId="3F1C6F5F" w14:textId="6A58DAC7">
      <w:pPr>
        <w:pStyle w:val="BodyText"/>
        <w:spacing w:before="2"/>
        <w:jc w:val="center"/>
        <w:rPr>
          <w:sz w:val="24"/>
          <w:szCs w:val="24"/>
          <w:lang w:val="pt-BR"/>
        </w:rPr>
      </w:pPr>
      <w:r>
        <w:rPr>
          <w:sz w:val="24"/>
          <w:szCs w:val="24"/>
          <w:lang w:val="pt-BR"/>
        </w:rPr>
        <w:t>Anderson Schreiber</w:t>
      </w:r>
    </w:p>
    <w:p w:rsidRPr="004E5B1D" w:rsidR="0056464F" w:rsidP="0056464F" w:rsidRDefault="00970954" w14:paraId="36578F9F" w14:textId="48E61E8E">
      <w:pPr>
        <w:pStyle w:val="BodyText"/>
        <w:spacing w:before="2"/>
        <w:jc w:val="center"/>
        <w:rPr>
          <w:sz w:val="24"/>
          <w:szCs w:val="24"/>
          <w:lang w:val="pt-BR"/>
        </w:rPr>
      </w:pPr>
      <w:r>
        <w:rPr>
          <w:sz w:val="24"/>
          <w:szCs w:val="24"/>
          <w:lang w:val="pt-BR"/>
        </w:rPr>
        <w:t>Patrícia Ferreira Baptista</w:t>
      </w:r>
    </w:p>
    <w:p w:rsidRPr="004E5B1D" w:rsidR="0056464F" w:rsidP="0056464F" w:rsidRDefault="00970954" w14:paraId="39829176" w14:textId="333F258F">
      <w:pPr>
        <w:pStyle w:val="BodyText"/>
        <w:spacing w:before="2"/>
        <w:jc w:val="center"/>
        <w:rPr>
          <w:sz w:val="24"/>
          <w:szCs w:val="24"/>
          <w:lang w:val="pt-BR"/>
        </w:rPr>
      </w:pPr>
      <w:r>
        <w:rPr>
          <w:sz w:val="24"/>
          <w:szCs w:val="24"/>
          <w:lang w:val="pt-BR"/>
        </w:rPr>
        <w:t>Sergio Nelson Mannheimer</w:t>
      </w:r>
    </w:p>
    <w:p w:rsidRPr="004E5B1D" w:rsidR="00560535" w:rsidRDefault="00560535" w14:paraId="116668DF" w14:textId="77777777">
      <w:pPr>
        <w:pStyle w:val="BodyText"/>
        <w:spacing w:before="2"/>
        <w:rPr>
          <w:b/>
          <w:sz w:val="20"/>
          <w:lang w:val="pt-BR"/>
        </w:rPr>
      </w:pPr>
    </w:p>
    <w:p w:rsidRPr="004E5B1D" w:rsidR="00560535" w:rsidRDefault="00560535" w14:paraId="3139076D" w14:textId="77777777">
      <w:pPr>
        <w:pStyle w:val="BodyText"/>
        <w:spacing w:before="2"/>
        <w:rPr>
          <w:b/>
          <w:sz w:val="20"/>
          <w:lang w:val="pt-BR"/>
        </w:rPr>
      </w:pPr>
    </w:p>
    <w:p w:rsidRPr="004E5B1D" w:rsidR="00560535" w:rsidRDefault="00560535" w14:paraId="40AF02DD" w14:textId="133DFD14">
      <w:pPr>
        <w:pStyle w:val="BodyText"/>
        <w:spacing w:before="2"/>
        <w:rPr>
          <w:b/>
          <w:sz w:val="20"/>
          <w:lang w:val="pt-BR"/>
        </w:rPr>
      </w:pPr>
    </w:p>
    <w:p w:rsidRPr="004E5B1D" w:rsidR="0031467F" w:rsidP="00144CA1" w:rsidRDefault="00144CA1" w14:paraId="4F1D1512" w14:textId="29BE23F0">
      <w:pPr>
        <w:rPr>
          <w:b/>
          <w:sz w:val="20"/>
          <w:lang w:val="pt-BR"/>
        </w:rPr>
      </w:pPr>
      <w:r w:rsidRPr="004E5B1D">
        <w:rPr>
          <w:b/>
          <w:sz w:val="20"/>
          <w:lang w:val="pt-BR"/>
        </w:rPr>
        <w:br w:type="page"/>
      </w:r>
    </w:p>
    <w:p w:rsidRPr="004E5B1D" w:rsidR="0031467F" w:rsidRDefault="0031467F" w14:paraId="49D1C172" w14:textId="77777777">
      <w:pPr>
        <w:pStyle w:val="BodyText"/>
        <w:spacing w:before="2"/>
        <w:rPr>
          <w:b/>
          <w:sz w:val="20"/>
          <w:lang w:val="pt-BR"/>
        </w:rPr>
      </w:pPr>
    </w:p>
    <w:p w:rsidRPr="004E5B1D" w:rsidR="00AE1E72" w:rsidP="005175BE" w:rsidRDefault="00991B13" w14:paraId="60D2AB98" w14:textId="0490C826">
      <w:pPr>
        <w:pStyle w:val="ListParagraph"/>
        <w:numPr>
          <w:ilvl w:val="0"/>
          <w:numId w:val="5"/>
        </w:numPr>
        <w:spacing w:before="0" w:after="240" w:line="360" w:lineRule="auto"/>
        <w:ind w:left="0" w:firstLine="0"/>
        <w:jc w:val="both"/>
        <w:rPr>
          <w:sz w:val="24"/>
          <w:szCs w:val="24"/>
          <w:lang w:val="pt-BR"/>
        </w:rPr>
      </w:pPr>
      <w:r w:rsidRPr="6AFB895A" w:rsidR="00991B13">
        <w:rPr>
          <w:sz w:val="24"/>
          <w:szCs w:val="24"/>
          <w:lang w:val="pt-BR"/>
        </w:rPr>
        <w:t xml:space="preserve">A </w:t>
      </w:r>
      <w:r w:rsidRPr="6AFB895A" w:rsidR="00991B13">
        <w:rPr>
          <w:b w:val="1"/>
          <w:bCs w:val="1"/>
          <w:sz w:val="24"/>
          <w:szCs w:val="24"/>
          <w:lang w:val="pt-BR"/>
        </w:rPr>
        <w:t>AGÊNCIA NACIONAL DE TRANSPORTES TERRESTRES – ANTT</w:t>
      </w:r>
      <w:r w:rsidRPr="6AFB895A" w:rsidR="006F0BCD">
        <w:rPr>
          <w:b w:val="1"/>
          <w:bCs w:val="1"/>
          <w:sz w:val="24"/>
          <w:szCs w:val="24"/>
          <w:lang w:val="pt-BR"/>
        </w:rPr>
        <w:t xml:space="preserve"> </w:t>
      </w:r>
      <w:r w:rsidRPr="6AFB895A" w:rsidR="006F0BCD">
        <w:rPr>
          <w:sz w:val="24"/>
          <w:szCs w:val="24"/>
          <w:lang w:val="pt-BR"/>
        </w:rPr>
        <w:t>e a</w:t>
      </w:r>
      <w:r w:rsidRPr="6AFB895A" w:rsidR="006F0BCD">
        <w:rPr>
          <w:b w:val="1"/>
          <w:bCs w:val="1"/>
          <w:sz w:val="24"/>
          <w:szCs w:val="24"/>
          <w:lang w:val="pt-BR"/>
        </w:rPr>
        <w:t xml:space="preserve"> UNIÃO FEDERAL</w:t>
      </w:r>
      <w:r w:rsidRPr="6AFB895A" w:rsidR="00151AE5">
        <w:rPr>
          <w:sz w:val="24"/>
          <w:szCs w:val="24"/>
          <w:lang w:val="pt-BR"/>
        </w:rPr>
        <w:t>,</w:t>
      </w:r>
      <w:r w:rsidRPr="6AFB895A" w:rsidR="00991B13">
        <w:rPr>
          <w:sz w:val="24"/>
          <w:szCs w:val="24"/>
          <w:lang w:val="pt-BR"/>
        </w:rPr>
        <w:t xml:space="preserve"> </w:t>
      </w:r>
      <w:r w:rsidRPr="6AFB895A" w:rsidR="006F0BCD">
        <w:rPr>
          <w:sz w:val="24"/>
          <w:szCs w:val="24"/>
          <w:lang w:val="pt-BR"/>
        </w:rPr>
        <w:t xml:space="preserve">respectivamente </w:t>
      </w:r>
      <w:r w:rsidRPr="6AFB895A" w:rsidR="00991B13">
        <w:rPr>
          <w:sz w:val="24"/>
          <w:szCs w:val="24"/>
          <w:lang w:val="pt-BR"/>
        </w:rPr>
        <w:t>Requerida</w:t>
      </w:r>
      <w:r w:rsidRPr="6AFB895A" w:rsidR="006F0BCD">
        <w:rPr>
          <w:sz w:val="24"/>
          <w:szCs w:val="24"/>
          <w:lang w:val="pt-BR"/>
        </w:rPr>
        <w:t xml:space="preserve"> 1 e Requerida 2</w:t>
      </w:r>
      <w:r w:rsidRPr="6AFB895A" w:rsidR="00991B13">
        <w:rPr>
          <w:sz w:val="24"/>
          <w:szCs w:val="24"/>
          <w:lang w:val="pt-BR"/>
        </w:rPr>
        <w:t xml:space="preserve"> no</w:t>
      </w:r>
      <w:r w:rsidRPr="6AFB895A" w:rsidR="00AB66F2">
        <w:rPr>
          <w:sz w:val="24"/>
          <w:szCs w:val="24"/>
          <w:lang w:val="pt-BR"/>
        </w:rPr>
        <w:t xml:space="preserve"> </w:t>
      </w:r>
      <w:r w:rsidRPr="6AFB895A" w:rsidR="00991B13">
        <w:rPr>
          <w:sz w:val="24"/>
          <w:szCs w:val="24"/>
          <w:lang w:val="pt-BR"/>
        </w:rPr>
        <w:t>procedimento arbitral em epígrafe,</w:t>
      </w:r>
      <w:r w:rsidRPr="6AFB895A" w:rsidR="009B0664">
        <w:rPr>
          <w:sz w:val="24"/>
          <w:szCs w:val="24"/>
          <w:lang w:val="pt-BR"/>
        </w:rPr>
        <w:t xml:space="preserve"> em atendimento </w:t>
      </w:r>
      <w:r w:rsidRPr="6AFB895A" w:rsidR="009810D5">
        <w:rPr>
          <w:sz w:val="24"/>
          <w:szCs w:val="24"/>
          <w:lang w:val="pt-BR"/>
        </w:rPr>
        <w:t xml:space="preserve">ao prazo concedido na </w:t>
      </w:r>
      <w:r w:rsidRPr="6AFB895A" w:rsidR="00E10C98">
        <w:rPr>
          <w:sz w:val="24"/>
          <w:szCs w:val="24"/>
          <w:lang w:val="pt-BR"/>
        </w:rPr>
        <w:t xml:space="preserve">Ordem Processual nº </w:t>
      </w:r>
      <w:r w:rsidRPr="6AFB895A" w:rsidR="005175BE">
        <w:rPr>
          <w:sz w:val="24"/>
          <w:szCs w:val="24"/>
          <w:lang w:val="pt-BR"/>
        </w:rPr>
        <w:t>09</w:t>
      </w:r>
      <w:r w:rsidRPr="6AFB895A" w:rsidR="00991B13">
        <w:rPr>
          <w:sz w:val="24"/>
          <w:szCs w:val="24"/>
          <w:lang w:val="pt-BR"/>
        </w:rPr>
        <w:t>,</w:t>
      </w:r>
      <w:r w:rsidRPr="6AFB895A" w:rsidR="005175BE">
        <w:rPr>
          <w:sz w:val="24"/>
          <w:szCs w:val="24"/>
          <w:lang w:val="pt-BR"/>
        </w:rPr>
        <w:t xml:space="preserve"> de 16 de abril de 2021,</w:t>
      </w:r>
      <w:r w:rsidRPr="6AFB895A" w:rsidR="00991B13">
        <w:rPr>
          <w:sz w:val="24"/>
          <w:szCs w:val="24"/>
          <w:lang w:val="pt-BR"/>
        </w:rPr>
        <w:t xml:space="preserve"> </w:t>
      </w:r>
      <w:r w:rsidRPr="6AFB895A" w:rsidR="009228A4">
        <w:rPr>
          <w:sz w:val="24"/>
          <w:szCs w:val="24"/>
          <w:lang w:val="pt-BR"/>
        </w:rPr>
        <w:t xml:space="preserve">vem </w:t>
      </w:r>
      <w:r w:rsidRPr="6AFB895A" w:rsidR="00E10C98">
        <w:rPr>
          <w:sz w:val="24"/>
          <w:szCs w:val="24"/>
          <w:lang w:val="pt-BR"/>
        </w:rPr>
        <w:t>expor e requerer o seguinte</w:t>
      </w:r>
      <w:r w:rsidRPr="6AFB895A" w:rsidR="008A44B6">
        <w:rPr>
          <w:sz w:val="24"/>
          <w:szCs w:val="24"/>
          <w:lang w:val="pt-BR"/>
        </w:rPr>
        <w:t>.</w:t>
      </w:r>
    </w:p>
    <w:p w:rsidR="00003817" w:rsidP="005175BE" w:rsidRDefault="005175BE" w14:paraId="00249BCE" w14:textId="5F2B3C4B">
      <w:pPr>
        <w:pStyle w:val="ListParagraph"/>
        <w:numPr>
          <w:ilvl w:val="0"/>
          <w:numId w:val="5"/>
        </w:numPr>
        <w:spacing w:before="0" w:after="240" w:line="360" w:lineRule="auto"/>
        <w:ind w:left="0" w:firstLine="0"/>
        <w:jc w:val="both"/>
        <w:rPr>
          <w:sz w:val="24"/>
          <w:szCs w:val="24"/>
          <w:lang w:val="pt-BR"/>
        </w:rPr>
      </w:pPr>
      <w:r w:rsidRPr="6AFB895A" w:rsidR="005175BE">
        <w:rPr>
          <w:sz w:val="24"/>
          <w:szCs w:val="24"/>
          <w:lang w:val="pt-BR"/>
        </w:rPr>
        <w:t xml:space="preserve">Por meio da OP n° 09, o Tribunal Arbitral </w:t>
      </w:r>
      <w:r w:rsidRPr="6AFB895A" w:rsidR="001B0364">
        <w:rPr>
          <w:sz w:val="24"/>
          <w:szCs w:val="24"/>
          <w:lang w:val="pt-BR"/>
        </w:rPr>
        <w:t>deliberou</w:t>
      </w:r>
      <w:r w:rsidRPr="6AFB895A" w:rsidR="005175BE">
        <w:rPr>
          <w:sz w:val="24"/>
          <w:szCs w:val="24"/>
          <w:lang w:val="pt-BR"/>
        </w:rPr>
        <w:t xml:space="preserve"> sobre os pontos controvertidos a serem submetidos à instrução probatória, à luz do quanto decidido em </w:t>
      </w:r>
      <w:r w:rsidRPr="6AFB895A" w:rsidR="00003817">
        <w:rPr>
          <w:sz w:val="24"/>
          <w:szCs w:val="24"/>
          <w:lang w:val="pt-BR"/>
        </w:rPr>
        <w:t>S</w:t>
      </w:r>
      <w:r w:rsidRPr="6AFB895A" w:rsidR="005175BE">
        <w:rPr>
          <w:sz w:val="24"/>
          <w:szCs w:val="24"/>
          <w:lang w:val="pt-BR"/>
        </w:rPr>
        <w:t xml:space="preserve">entença </w:t>
      </w:r>
      <w:r w:rsidRPr="6AFB895A" w:rsidR="00003817">
        <w:rPr>
          <w:sz w:val="24"/>
          <w:szCs w:val="24"/>
          <w:lang w:val="pt-BR"/>
        </w:rPr>
        <w:t>A</w:t>
      </w:r>
      <w:r w:rsidRPr="6AFB895A" w:rsidR="005175BE">
        <w:rPr>
          <w:sz w:val="24"/>
          <w:szCs w:val="24"/>
          <w:lang w:val="pt-BR"/>
        </w:rPr>
        <w:t xml:space="preserve">rbitral </w:t>
      </w:r>
      <w:r w:rsidRPr="6AFB895A" w:rsidR="00003817">
        <w:rPr>
          <w:sz w:val="24"/>
          <w:szCs w:val="24"/>
          <w:lang w:val="pt-BR"/>
        </w:rPr>
        <w:t>P</w:t>
      </w:r>
      <w:r w:rsidRPr="6AFB895A" w:rsidR="005175BE">
        <w:rPr>
          <w:sz w:val="24"/>
          <w:szCs w:val="24"/>
          <w:lang w:val="pt-BR"/>
        </w:rPr>
        <w:t xml:space="preserve">arcial </w:t>
      </w:r>
      <w:r w:rsidRPr="6AFB895A" w:rsidR="0078325E">
        <w:rPr>
          <w:sz w:val="24"/>
          <w:szCs w:val="24"/>
          <w:lang w:val="pt-BR"/>
        </w:rPr>
        <w:t>datada de 10 de setembro de 2020</w:t>
      </w:r>
      <w:r w:rsidRPr="6AFB895A" w:rsidR="005175BE">
        <w:rPr>
          <w:sz w:val="24"/>
          <w:szCs w:val="24"/>
          <w:lang w:val="pt-BR"/>
        </w:rPr>
        <w:t xml:space="preserve">. </w:t>
      </w:r>
    </w:p>
    <w:p w:rsidRPr="004E5B1D" w:rsidR="005175BE" w:rsidP="005175BE" w:rsidRDefault="00003817" w14:paraId="6491C5EF" w14:textId="69A210AB">
      <w:pPr>
        <w:pStyle w:val="ListParagraph"/>
        <w:numPr>
          <w:ilvl w:val="0"/>
          <w:numId w:val="5"/>
        </w:numPr>
        <w:spacing w:before="0" w:after="240" w:line="360" w:lineRule="auto"/>
        <w:ind w:left="0" w:firstLine="0"/>
        <w:jc w:val="both"/>
        <w:rPr>
          <w:sz w:val="24"/>
          <w:szCs w:val="24"/>
          <w:lang w:val="pt-BR"/>
        </w:rPr>
      </w:pPr>
      <w:r w:rsidRPr="6AFB895A" w:rsidR="00003817">
        <w:rPr>
          <w:sz w:val="24"/>
          <w:szCs w:val="24"/>
          <w:lang w:val="pt-BR"/>
        </w:rPr>
        <w:t>Preliminarmente, é oportuno repisar que a S</w:t>
      </w:r>
      <w:r w:rsidRPr="6AFB895A" w:rsidR="00144CA1">
        <w:rPr>
          <w:sz w:val="24"/>
          <w:szCs w:val="24"/>
          <w:lang w:val="pt-BR"/>
        </w:rPr>
        <w:t xml:space="preserve">entença </w:t>
      </w:r>
      <w:r w:rsidRPr="6AFB895A" w:rsidR="00003817">
        <w:rPr>
          <w:sz w:val="24"/>
          <w:szCs w:val="24"/>
          <w:lang w:val="pt-BR"/>
        </w:rPr>
        <w:t>P</w:t>
      </w:r>
      <w:r w:rsidRPr="6AFB895A" w:rsidR="00144CA1">
        <w:rPr>
          <w:sz w:val="24"/>
          <w:szCs w:val="24"/>
          <w:lang w:val="pt-BR"/>
        </w:rPr>
        <w:t>arcial</w:t>
      </w:r>
      <w:r w:rsidRPr="6AFB895A" w:rsidR="00003817">
        <w:rPr>
          <w:sz w:val="24"/>
          <w:szCs w:val="24"/>
          <w:lang w:val="pt-BR"/>
        </w:rPr>
        <w:t xml:space="preserve"> proferida pelo </w:t>
      </w:r>
      <w:r w:rsidRPr="6AFB895A" w:rsidR="00003817">
        <w:rPr>
          <w:i w:val="1"/>
          <w:iCs w:val="1"/>
          <w:sz w:val="24"/>
          <w:szCs w:val="24"/>
          <w:lang w:val="pt-BR"/>
        </w:rPr>
        <w:t>i</w:t>
      </w:r>
      <w:r w:rsidRPr="6AFB895A" w:rsidR="00003817">
        <w:rPr>
          <w:sz w:val="24"/>
          <w:szCs w:val="24"/>
          <w:lang w:val="pt-BR"/>
        </w:rPr>
        <w:t>.</w:t>
      </w:r>
      <w:r w:rsidRPr="6AFB895A" w:rsidR="00144CA1">
        <w:rPr>
          <w:sz w:val="24"/>
          <w:szCs w:val="24"/>
          <w:lang w:val="pt-BR"/>
        </w:rPr>
        <w:t xml:space="preserve"> Tribunal Arbitral </w:t>
      </w:r>
      <w:r w:rsidRPr="6AFB895A" w:rsidR="00003817">
        <w:rPr>
          <w:sz w:val="24"/>
          <w:szCs w:val="24"/>
          <w:lang w:val="pt-BR"/>
        </w:rPr>
        <w:t>julgou</w:t>
      </w:r>
      <w:r w:rsidRPr="6AFB895A" w:rsidR="00003817">
        <w:rPr>
          <w:sz w:val="24"/>
          <w:szCs w:val="24"/>
          <w:lang w:val="pt-BR"/>
        </w:rPr>
        <w:t xml:space="preserve"> </w:t>
      </w:r>
      <w:r w:rsidRPr="6AFB895A" w:rsidR="00003817">
        <w:rPr>
          <w:b w:val="1"/>
          <w:bCs w:val="1"/>
          <w:sz w:val="24"/>
          <w:szCs w:val="24"/>
          <w:u w:val="single"/>
          <w:lang w:val="pt-BR"/>
        </w:rPr>
        <w:t>procedentes os pedidos formulados pela REQUERIDA 2</w:t>
      </w:r>
      <w:r w:rsidRPr="6AFB895A" w:rsidR="00F04980">
        <w:rPr>
          <w:b w:val="1"/>
          <w:bCs w:val="1"/>
          <w:sz w:val="24"/>
          <w:szCs w:val="24"/>
          <w:u w:val="single"/>
          <w:lang w:val="pt-BR"/>
        </w:rPr>
        <w:t xml:space="preserve"> (UNIÃO)</w:t>
      </w:r>
      <w:r w:rsidRPr="6AFB895A" w:rsidR="00003817">
        <w:rPr>
          <w:b w:val="1"/>
          <w:bCs w:val="1"/>
          <w:sz w:val="24"/>
          <w:szCs w:val="24"/>
          <w:u w:val="single"/>
          <w:lang w:val="pt-BR"/>
        </w:rPr>
        <w:t xml:space="preserve"> nos itens “ii” e “viii”, do parágrafo 355 de sua Reconvenção</w:t>
      </w:r>
      <w:r w:rsidRPr="6AFB895A" w:rsidR="00003817">
        <w:rPr>
          <w:sz w:val="24"/>
          <w:szCs w:val="24"/>
          <w:lang w:val="pt-BR"/>
        </w:rPr>
        <w:t xml:space="preserve"> e parcialmente procedente o pedido formulado no item “vii” do mesmo parágrafo da manifestação, para </w:t>
      </w:r>
      <w:r w:rsidRPr="6AFB895A" w:rsidR="00003817">
        <w:rPr>
          <w:b w:val="1"/>
          <w:bCs w:val="1"/>
          <w:sz w:val="24"/>
          <w:szCs w:val="24"/>
          <w:u w:val="single"/>
          <w:lang w:val="pt-BR"/>
        </w:rPr>
        <w:t>condenar a REQUERENTE ao pagamento</w:t>
      </w:r>
      <w:r w:rsidRPr="6AFB895A" w:rsidR="00003817">
        <w:rPr>
          <w:sz w:val="24"/>
          <w:szCs w:val="24"/>
          <w:lang w:val="pt-BR"/>
        </w:rPr>
        <w:t xml:space="preserve"> (a) </w:t>
      </w:r>
      <w:r w:rsidRPr="6AFB895A" w:rsidR="00003817">
        <w:rPr>
          <w:b w:val="1"/>
          <w:bCs w:val="1"/>
          <w:sz w:val="24"/>
          <w:szCs w:val="24"/>
          <w:lang w:val="pt-BR"/>
        </w:rPr>
        <w:t xml:space="preserve">das multas administrativas aplicadas pela REQUERIDA 1, </w:t>
      </w:r>
      <w:r w:rsidRPr="6AFB895A" w:rsidR="00003817">
        <w:rPr>
          <w:b w:val="1"/>
          <w:bCs w:val="1"/>
          <w:sz w:val="24"/>
          <w:szCs w:val="24"/>
          <w:u w:val="single"/>
          <w:lang w:val="pt-BR"/>
        </w:rPr>
        <w:t>ainda não quitadas</w:t>
      </w:r>
      <w:r w:rsidRPr="6AFB895A" w:rsidR="00003817">
        <w:rPr>
          <w:sz w:val="24"/>
          <w:szCs w:val="24"/>
          <w:lang w:val="pt-BR"/>
        </w:rPr>
        <w:t xml:space="preserve">, (b) dos </w:t>
      </w:r>
      <w:r w:rsidRPr="6AFB895A" w:rsidR="00003817">
        <w:rPr>
          <w:b w:val="1"/>
          <w:bCs w:val="1"/>
          <w:sz w:val="24"/>
          <w:szCs w:val="24"/>
          <w:lang w:val="pt-BR"/>
        </w:rPr>
        <w:t>valores não pagos a título de verba de fiscalização</w:t>
      </w:r>
      <w:r w:rsidRPr="6AFB895A" w:rsidR="00003817">
        <w:rPr>
          <w:sz w:val="24"/>
          <w:szCs w:val="24"/>
          <w:lang w:val="pt-BR"/>
        </w:rPr>
        <w:t xml:space="preserve"> e (c) das perdas e danos comprovadamente sofridas pela REQUERIDA 2 com extinção da concessão por caducidade, tudo a ser liquidado na segunda fase do presente procedimento arbitral</w:t>
      </w:r>
      <w:r w:rsidRPr="6AFB895A" w:rsidR="00F04980">
        <w:rPr>
          <w:sz w:val="24"/>
          <w:szCs w:val="24"/>
          <w:lang w:val="pt-BR"/>
        </w:rPr>
        <w:t>.</w:t>
      </w:r>
    </w:p>
    <w:p w:rsidRPr="004E5B1D" w:rsidR="005175BE" w:rsidP="005175BE" w:rsidRDefault="00144CA1" w14:paraId="34D67E56" w14:textId="010F0653">
      <w:pPr>
        <w:pStyle w:val="ListParagraph"/>
        <w:numPr>
          <w:ilvl w:val="0"/>
          <w:numId w:val="5"/>
        </w:numPr>
        <w:spacing w:before="0" w:after="240" w:line="360" w:lineRule="auto"/>
        <w:ind w:left="0" w:firstLine="0"/>
        <w:jc w:val="both"/>
        <w:rPr>
          <w:sz w:val="24"/>
          <w:szCs w:val="24"/>
          <w:lang w:val="pt-BR"/>
        </w:rPr>
      </w:pPr>
      <w:r w:rsidRPr="6AFB895A" w:rsidR="00144CA1">
        <w:rPr>
          <w:sz w:val="24"/>
          <w:szCs w:val="24"/>
          <w:lang w:val="pt-BR"/>
        </w:rPr>
        <w:t xml:space="preserve">Na </w:t>
      </w:r>
      <w:r w:rsidRPr="6AFB895A" w:rsidR="00003817">
        <w:rPr>
          <w:sz w:val="24"/>
          <w:szCs w:val="24"/>
          <w:lang w:val="pt-BR"/>
        </w:rPr>
        <w:t>oportunidade</w:t>
      </w:r>
      <w:r w:rsidRPr="6AFB895A" w:rsidR="00144CA1">
        <w:rPr>
          <w:sz w:val="24"/>
          <w:szCs w:val="24"/>
          <w:lang w:val="pt-BR"/>
        </w:rPr>
        <w:t xml:space="preserve">, </w:t>
      </w:r>
      <w:r w:rsidRPr="6AFB895A" w:rsidR="00003817">
        <w:rPr>
          <w:sz w:val="24"/>
          <w:szCs w:val="24"/>
          <w:lang w:val="pt-BR"/>
        </w:rPr>
        <w:t>em decorrência d</w:t>
      </w:r>
      <w:r w:rsidRPr="6AFB895A" w:rsidR="00F04980">
        <w:rPr>
          <w:sz w:val="24"/>
          <w:szCs w:val="24"/>
          <w:lang w:val="pt-BR"/>
        </w:rPr>
        <w:t>a</w:t>
      </w:r>
      <w:r w:rsidRPr="6AFB895A" w:rsidR="00003817">
        <w:rPr>
          <w:sz w:val="24"/>
          <w:szCs w:val="24"/>
          <w:lang w:val="pt-BR"/>
        </w:rPr>
        <w:t xml:space="preserve"> insurgência da Requerente</w:t>
      </w:r>
      <w:r w:rsidRPr="6AFB895A" w:rsidR="005175BE">
        <w:rPr>
          <w:sz w:val="24"/>
          <w:szCs w:val="24"/>
          <w:lang w:val="pt-BR"/>
        </w:rPr>
        <w:t xml:space="preserve"> sobre a liquidação dos valores referentes às multas administrativas e verba de fiscalização, o Tribunal Arbitral</w:t>
      </w:r>
      <w:r w:rsidRPr="6AFB895A" w:rsidR="00144CA1">
        <w:rPr>
          <w:sz w:val="24"/>
          <w:szCs w:val="24"/>
          <w:lang w:val="pt-BR"/>
        </w:rPr>
        <w:t xml:space="preserve"> considerou que existe controvérsia no que diz respeito </w:t>
      </w:r>
      <w:r w:rsidRPr="6AFB895A" w:rsidR="00003817">
        <w:rPr>
          <w:sz w:val="24"/>
          <w:szCs w:val="24"/>
          <w:lang w:val="pt-BR"/>
        </w:rPr>
        <w:t>aos</w:t>
      </w:r>
      <w:r w:rsidRPr="6AFB895A" w:rsidR="00144CA1">
        <w:rPr>
          <w:sz w:val="24"/>
          <w:szCs w:val="24"/>
          <w:lang w:val="pt-BR"/>
        </w:rPr>
        <w:t xml:space="preserve"> valores devidos</w:t>
      </w:r>
      <w:r w:rsidRPr="6AFB895A" w:rsidR="00352235">
        <w:rPr>
          <w:sz w:val="24"/>
          <w:szCs w:val="24"/>
          <w:lang w:val="pt-BR"/>
        </w:rPr>
        <w:t>. Por um lado, as Requeridas sustentam que no documento R</w:t>
      </w:r>
      <w:r w:rsidRPr="6AFB895A" w:rsidR="00E10133">
        <w:rPr>
          <w:sz w:val="24"/>
          <w:szCs w:val="24"/>
          <w:lang w:val="pt-BR"/>
        </w:rPr>
        <w:t>1</w:t>
      </w:r>
      <w:r w:rsidRPr="6AFB895A" w:rsidR="00352235">
        <w:rPr>
          <w:sz w:val="24"/>
          <w:szCs w:val="24"/>
          <w:lang w:val="pt-BR"/>
        </w:rPr>
        <w:t>-29 há a relação atualizada</w:t>
      </w:r>
      <w:r w:rsidRPr="6AFB895A" w:rsidR="001F52D5">
        <w:rPr>
          <w:sz w:val="24"/>
          <w:szCs w:val="24"/>
          <w:lang w:val="pt-BR"/>
        </w:rPr>
        <w:t xml:space="preserve"> (até 31/01/2021)</w:t>
      </w:r>
      <w:r w:rsidRPr="6AFB895A" w:rsidR="00352235">
        <w:rPr>
          <w:sz w:val="24"/>
          <w:szCs w:val="24"/>
          <w:lang w:val="pt-BR"/>
        </w:rPr>
        <w:t xml:space="preserve"> das multas e verbas de fiscalização. Por outro lado, a Requerente reconhece apenas a parte desses valores que constam </w:t>
      </w:r>
      <w:r w:rsidRPr="6AFB895A" w:rsidR="00003817">
        <w:rPr>
          <w:sz w:val="24"/>
          <w:szCs w:val="24"/>
          <w:lang w:val="pt-BR"/>
        </w:rPr>
        <w:t>na</w:t>
      </w:r>
      <w:r w:rsidRPr="6AFB895A" w:rsidR="00352235">
        <w:rPr>
          <w:sz w:val="24"/>
          <w:szCs w:val="24"/>
          <w:lang w:val="pt-BR"/>
        </w:rPr>
        <w:t xml:space="preserve"> tabela do </w:t>
      </w:r>
      <w:r w:rsidRPr="6AFB895A" w:rsidR="00944243">
        <w:rPr>
          <w:sz w:val="24"/>
          <w:szCs w:val="24"/>
          <w:lang w:val="pt-BR"/>
        </w:rPr>
        <w:t>§</w:t>
      </w:r>
      <w:r w:rsidRPr="6AFB895A" w:rsidR="00003817">
        <w:rPr>
          <w:sz w:val="24"/>
          <w:szCs w:val="24"/>
          <w:lang w:val="pt-BR"/>
        </w:rPr>
        <w:t xml:space="preserve"> </w:t>
      </w:r>
      <w:r w:rsidRPr="6AFB895A" w:rsidR="00944243">
        <w:rPr>
          <w:sz w:val="24"/>
          <w:szCs w:val="24"/>
          <w:lang w:val="pt-BR"/>
        </w:rPr>
        <w:t>198 do Relatório Final da Comissão Processante</w:t>
      </w:r>
      <w:r w:rsidRPr="6AFB895A" w:rsidR="00530E92">
        <w:rPr>
          <w:sz w:val="24"/>
          <w:szCs w:val="24"/>
          <w:lang w:val="pt-BR"/>
        </w:rPr>
        <w:t xml:space="preserve"> </w:t>
      </w:r>
      <w:r w:rsidRPr="6AFB895A" w:rsidR="00530E92">
        <w:rPr>
          <w:color w:val="000000" w:themeColor="text1" w:themeTint="FF" w:themeShade="FF"/>
          <w:sz w:val="24"/>
          <w:szCs w:val="24"/>
          <w:lang w:val="pt-BR"/>
        </w:rPr>
        <w:t xml:space="preserve">(doc. </w:t>
      </w:r>
      <w:r w:rsidRPr="6AFB895A" w:rsidR="00F04980">
        <w:rPr>
          <w:color w:val="000000" w:themeColor="text1" w:themeTint="FF" w:themeShade="FF"/>
          <w:sz w:val="24"/>
          <w:szCs w:val="24"/>
          <w:lang w:val="pt-BR"/>
        </w:rPr>
        <w:t>R1-27</w:t>
      </w:r>
      <w:r w:rsidRPr="6AFB895A" w:rsidR="00530E92">
        <w:rPr>
          <w:color w:val="000000" w:themeColor="text1" w:themeTint="FF" w:themeShade="FF"/>
          <w:sz w:val="24"/>
          <w:szCs w:val="24"/>
          <w:lang w:val="pt-BR"/>
        </w:rPr>
        <w:t>)</w:t>
      </w:r>
      <w:r w:rsidRPr="6AFB895A" w:rsidR="00944243">
        <w:rPr>
          <w:sz w:val="24"/>
          <w:szCs w:val="24"/>
          <w:lang w:val="pt-BR"/>
        </w:rPr>
        <w:t xml:space="preserve">, referenciados na seção 5.2.1 do “Parecer sobre Critérios de Indenização para o Contrato da Rodovia BR-153”, elaborado pela GO Associados (doc. A-07). </w:t>
      </w:r>
    </w:p>
    <w:p w:rsidRPr="004E5B1D" w:rsidR="00944243" w:rsidP="005175BE" w:rsidRDefault="00D35DBC" w14:paraId="3E95E39B" w14:textId="0AC5A461">
      <w:pPr>
        <w:pStyle w:val="ListParagraph"/>
        <w:numPr>
          <w:ilvl w:val="0"/>
          <w:numId w:val="5"/>
        </w:numPr>
        <w:spacing w:before="0" w:after="240" w:line="360" w:lineRule="auto"/>
        <w:ind w:left="0" w:firstLine="0"/>
        <w:jc w:val="both"/>
        <w:rPr>
          <w:sz w:val="24"/>
          <w:szCs w:val="24"/>
          <w:lang w:val="pt-BR"/>
        </w:rPr>
      </w:pPr>
      <w:r w:rsidRPr="6AFB895A" w:rsidR="00D35DBC">
        <w:rPr>
          <w:sz w:val="24"/>
          <w:szCs w:val="24"/>
          <w:lang w:val="pt-BR"/>
        </w:rPr>
        <w:t>Nesse sentido, o Il. Tribunal Arbitral resolveu “</w:t>
      </w:r>
      <w:r w:rsidRPr="6AFB895A" w:rsidR="00D35DBC">
        <w:rPr>
          <w:i w:val="1"/>
          <w:iCs w:val="1"/>
          <w:sz w:val="24"/>
          <w:szCs w:val="24"/>
          <w:lang w:val="pt-BR"/>
        </w:rPr>
        <w:t>determinar a apresentação de cópias dos processos administrativos que embasaram a aplicação e posterior acréscimo ao cálculo das multas administrativas e das verbas de fiscalização pelas Requeridas, bem como quaisquer outros documentos que as Partes entendam pertinentes para que seja dirimido este ponto controvertido, até o dia 31 de maio de 2021</w:t>
      </w:r>
      <w:r w:rsidRPr="6AFB895A" w:rsidR="00D35DBC">
        <w:rPr>
          <w:sz w:val="24"/>
          <w:szCs w:val="24"/>
          <w:lang w:val="pt-BR"/>
        </w:rPr>
        <w:t xml:space="preserve">”. </w:t>
      </w:r>
    </w:p>
    <w:p w:rsidR="001F52D5" w:rsidP="001F52D5" w:rsidRDefault="00D35DBC" w14:paraId="073B60B8" w14:textId="77777777">
      <w:pPr>
        <w:pStyle w:val="ListParagraph"/>
        <w:numPr>
          <w:ilvl w:val="0"/>
          <w:numId w:val="5"/>
        </w:numPr>
        <w:spacing w:before="0" w:after="240" w:line="360" w:lineRule="auto"/>
        <w:ind w:left="0" w:firstLine="0"/>
        <w:jc w:val="both"/>
        <w:rPr>
          <w:sz w:val="24"/>
          <w:szCs w:val="24"/>
          <w:lang w:val="pt-BR"/>
        </w:rPr>
      </w:pPr>
      <w:r w:rsidRPr="6AFB895A" w:rsidR="00D35DBC">
        <w:rPr>
          <w:sz w:val="24"/>
          <w:szCs w:val="24"/>
          <w:lang w:val="pt-BR"/>
        </w:rPr>
        <w:t xml:space="preserve">Tendo isso em vista, passa-se à manifestação das Requeridas </w:t>
      </w:r>
      <w:r w:rsidRPr="6AFB895A" w:rsidR="003B7E3E">
        <w:rPr>
          <w:sz w:val="24"/>
          <w:szCs w:val="24"/>
          <w:lang w:val="pt-BR"/>
        </w:rPr>
        <w:t>quanto a</w:t>
      </w:r>
      <w:r w:rsidRPr="6AFB895A" w:rsidR="00D35DBC">
        <w:rPr>
          <w:sz w:val="24"/>
          <w:szCs w:val="24"/>
          <w:lang w:val="pt-BR"/>
        </w:rPr>
        <w:t xml:space="preserve"> esse ponto controvertido.</w:t>
      </w:r>
    </w:p>
    <w:p w:rsidR="00D35DBC" w:rsidP="001F52D5" w:rsidRDefault="00D35DBC" w14:paraId="1F9F2419" w14:textId="49755BA1">
      <w:pPr>
        <w:pStyle w:val="ListParagraph"/>
        <w:spacing w:before="0" w:after="240" w:line="360" w:lineRule="auto"/>
        <w:ind w:left="0" w:firstLine="0"/>
        <w:jc w:val="both"/>
        <w:rPr>
          <w:sz w:val="24"/>
          <w:szCs w:val="24"/>
          <w:lang w:val="pt-BR"/>
        </w:rPr>
      </w:pPr>
    </w:p>
    <w:p w:rsidRPr="001F52D5" w:rsidR="00F04980" w:rsidP="001F52D5" w:rsidRDefault="00F04980" w14:paraId="11F6F082" w14:textId="77777777">
      <w:pPr>
        <w:pStyle w:val="ListParagraph"/>
        <w:spacing w:before="0" w:after="240" w:line="360" w:lineRule="auto"/>
        <w:ind w:left="0" w:firstLine="0"/>
        <w:jc w:val="both"/>
        <w:rPr>
          <w:sz w:val="24"/>
          <w:szCs w:val="24"/>
          <w:lang w:val="pt-BR"/>
        </w:rPr>
      </w:pPr>
    </w:p>
    <w:p w:rsidRPr="004E5B1D" w:rsidR="0003553F" w:rsidP="00CF6FA2" w:rsidRDefault="004A4CAF" w14:paraId="414398A9" w14:textId="7AB0E8F5">
      <w:pPr>
        <w:shd w:val="clear" w:color="auto" w:fill="D9D9D9" w:themeFill="background1" w:themeFillShade="D9"/>
        <w:spacing w:after="240" w:line="360" w:lineRule="auto"/>
        <w:jc w:val="center"/>
        <w:rPr>
          <w:b/>
          <w:sz w:val="24"/>
          <w:szCs w:val="24"/>
          <w:lang w:val="pt-BR"/>
        </w:rPr>
      </w:pPr>
      <w:r w:rsidRPr="004E5B1D">
        <w:rPr>
          <w:b/>
          <w:sz w:val="24"/>
          <w:szCs w:val="24"/>
          <w:lang w:val="pt-BR"/>
        </w:rPr>
        <w:lastRenderedPageBreak/>
        <w:t>RELATÓRIO FINAL DA COMISSÃO PROCESSANTE – SUINF</w:t>
      </w:r>
    </w:p>
    <w:p w:rsidRPr="004E5B1D" w:rsidR="0003553F" w:rsidP="00D35DBC" w:rsidRDefault="001C57D8" w14:paraId="6C3FEB25" w14:textId="53C45D29">
      <w:pPr>
        <w:pStyle w:val="ListParagraph"/>
        <w:numPr>
          <w:ilvl w:val="0"/>
          <w:numId w:val="5"/>
        </w:numPr>
        <w:spacing w:before="0" w:after="240" w:line="360" w:lineRule="auto"/>
        <w:ind w:left="0" w:firstLine="0"/>
        <w:jc w:val="both"/>
        <w:rPr>
          <w:sz w:val="24"/>
          <w:szCs w:val="24"/>
          <w:lang w:val="pt-BR"/>
        </w:rPr>
      </w:pPr>
      <w:r w:rsidRPr="6AFB895A" w:rsidR="001C57D8">
        <w:rPr>
          <w:sz w:val="24"/>
          <w:szCs w:val="24"/>
          <w:lang w:val="pt-BR"/>
        </w:rPr>
        <w:t>A fim de afastar qualquer dúvida em relação aos valores devidos pela Requerente à título de multas e verbas de fiscalização, é preciso repisar os termos do</w:t>
      </w:r>
      <w:r w:rsidRPr="6AFB895A" w:rsidR="00BE7515">
        <w:rPr>
          <w:sz w:val="24"/>
          <w:szCs w:val="24"/>
          <w:lang w:val="pt-BR"/>
        </w:rPr>
        <w:t xml:space="preserve"> </w:t>
      </w:r>
      <w:r w:rsidRPr="6AFB895A" w:rsidR="00677752">
        <w:rPr>
          <w:sz w:val="24"/>
          <w:szCs w:val="24"/>
          <w:lang w:val="pt-BR"/>
        </w:rPr>
        <w:t xml:space="preserve">Relatório Final da Comissão Processante </w:t>
      </w:r>
      <w:r w:rsidRPr="6AFB895A" w:rsidR="00677752">
        <w:rPr>
          <w:color w:val="000000" w:themeColor="text1" w:themeTint="FF" w:themeShade="FF"/>
          <w:sz w:val="24"/>
          <w:szCs w:val="24"/>
          <w:lang w:val="pt-BR"/>
        </w:rPr>
        <w:t>(doc. R1-27)</w:t>
      </w:r>
      <w:r w:rsidRPr="6AFB895A" w:rsidR="001C57D8">
        <w:rPr>
          <w:sz w:val="24"/>
          <w:szCs w:val="24"/>
          <w:lang w:val="pt-BR"/>
        </w:rPr>
        <w:t xml:space="preserve">. </w:t>
      </w:r>
      <w:r w:rsidRPr="6AFB895A" w:rsidR="008810D9">
        <w:rPr>
          <w:sz w:val="24"/>
          <w:szCs w:val="24"/>
          <w:lang w:val="pt-BR"/>
        </w:rPr>
        <w:t>Consta naquele documento</w:t>
      </w:r>
      <w:r w:rsidRPr="6AFB895A" w:rsidR="007A328E">
        <w:rPr>
          <w:sz w:val="24"/>
          <w:szCs w:val="24"/>
          <w:lang w:val="pt-BR"/>
        </w:rPr>
        <w:t xml:space="preserve"> que em 02 de janeiro de 2017 a Gerência de Fiscalização e Controle Operacional de Rodovias – GEF</w:t>
      </w:r>
      <w:r w:rsidRPr="6AFB895A" w:rsidR="00A27E3F">
        <w:rPr>
          <w:sz w:val="24"/>
          <w:szCs w:val="24"/>
          <w:lang w:val="pt-BR"/>
        </w:rPr>
        <w:t>O</w:t>
      </w:r>
      <w:r w:rsidRPr="6AFB895A" w:rsidR="007A328E">
        <w:rPr>
          <w:sz w:val="24"/>
          <w:szCs w:val="24"/>
          <w:lang w:val="pt-BR"/>
        </w:rPr>
        <w:t>R/SUINF/ANTT identificou</w:t>
      </w:r>
      <w:r w:rsidRPr="6AFB895A" w:rsidR="009260AC">
        <w:rPr>
          <w:sz w:val="24"/>
          <w:szCs w:val="24"/>
          <w:lang w:val="pt-BR"/>
        </w:rPr>
        <w:t xml:space="preserve"> a existência de 39 </w:t>
      </w:r>
      <w:r w:rsidRPr="6AFB895A" w:rsidR="00E2621B">
        <w:rPr>
          <w:sz w:val="24"/>
          <w:szCs w:val="24"/>
          <w:lang w:val="pt-BR"/>
        </w:rPr>
        <w:t>P</w:t>
      </w:r>
      <w:r w:rsidRPr="6AFB895A" w:rsidR="009260AC">
        <w:rPr>
          <w:sz w:val="24"/>
          <w:szCs w:val="24"/>
          <w:lang w:val="pt-BR"/>
        </w:rPr>
        <w:t xml:space="preserve">rocessos </w:t>
      </w:r>
      <w:r w:rsidRPr="6AFB895A" w:rsidR="00E2621B">
        <w:rPr>
          <w:sz w:val="24"/>
          <w:szCs w:val="24"/>
          <w:lang w:val="pt-BR"/>
        </w:rPr>
        <w:t>A</w:t>
      </w:r>
      <w:r w:rsidRPr="6AFB895A" w:rsidR="009260AC">
        <w:rPr>
          <w:sz w:val="24"/>
          <w:szCs w:val="24"/>
          <w:lang w:val="pt-BR"/>
        </w:rPr>
        <w:t xml:space="preserve">dministrativos </w:t>
      </w:r>
      <w:r w:rsidRPr="6AFB895A" w:rsidR="00E2621B">
        <w:rPr>
          <w:sz w:val="24"/>
          <w:szCs w:val="24"/>
          <w:lang w:val="pt-BR"/>
        </w:rPr>
        <w:t>S</w:t>
      </w:r>
      <w:r w:rsidRPr="6AFB895A" w:rsidR="00B368F7">
        <w:rPr>
          <w:sz w:val="24"/>
          <w:szCs w:val="24"/>
          <w:lang w:val="pt-BR"/>
        </w:rPr>
        <w:t>implificados</w:t>
      </w:r>
      <w:r w:rsidRPr="6AFB895A" w:rsidR="00E2621B">
        <w:rPr>
          <w:sz w:val="24"/>
          <w:szCs w:val="24"/>
          <w:lang w:val="pt-BR"/>
        </w:rPr>
        <w:t xml:space="preserve"> - PAS</w:t>
      </w:r>
      <w:r w:rsidRPr="6AFB895A" w:rsidR="009260AC">
        <w:rPr>
          <w:sz w:val="24"/>
          <w:szCs w:val="24"/>
          <w:lang w:val="pt-BR"/>
        </w:rPr>
        <w:t xml:space="preserve">, que, à época, eram instruídos pela </w:t>
      </w:r>
      <w:r w:rsidRPr="6AFB895A" w:rsidR="00E2621B">
        <w:rPr>
          <w:sz w:val="24"/>
          <w:szCs w:val="24"/>
          <w:lang w:val="pt-BR"/>
        </w:rPr>
        <w:t>A</w:t>
      </w:r>
      <w:r w:rsidRPr="6AFB895A" w:rsidR="009260AC">
        <w:rPr>
          <w:sz w:val="24"/>
          <w:szCs w:val="24"/>
          <w:lang w:val="pt-BR"/>
        </w:rPr>
        <w:t xml:space="preserve">gência </w:t>
      </w:r>
      <w:r w:rsidRPr="6AFB895A" w:rsidR="00E2621B">
        <w:rPr>
          <w:sz w:val="24"/>
          <w:szCs w:val="24"/>
          <w:lang w:val="pt-BR"/>
        </w:rPr>
        <w:t>R</w:t>
      </w:r>
      <w:r w:rsidRPr="6AFB895A" w:rsidR="009260AC">
        <w:rPr>
          <w:sz w:val="24"/>
          <w:szCs w:val="24"/>
          <w:lang w:val="pt-BR"/>
        </w:rPr>
        <w:t xml:space="preserve">eguladora. </w:t>
      </w:r>
    </w:p>
    <w:p w:rsidRPr="004E5B1D" w:rsidR="00772464" w:rsidP="00772464" w:rsidRDefault="009260AC" w14:paraId="2E6DB14C" w14:textId="13CE275D">
      <w:pPr>
        <w:pStyle w:val="ListParagraph"/>
        <w:numPr>
          <w:ilvl w:val="0"/>
          <w:numId w:val="5"/>
        </w:numPr>
        <w:spacing w:before="0" w:after="240" w:line="360" w:lineRule="auto"/>
        <w:ind w:left="0" w:firstLine="0"/>
        <w:jc w:val="both"/>
        <w:rPr>
          <w:sz w:val="24"/>
          <w:szCs w:val="24"/>
          <w:lang w:val="pt-BR"/>
        </w:rPr>
      </w:pPr>
      <w:r w:rsidRPr="6AFB895A" w:rsidR="009260AC">
        <w:rPr>
          <w:sz w:val="24"/>
          <w:szCs w:val="24"/>
          <w:lang w:val="pt-BR"/>
        </w:rPr>
        <w:t xml:space="preserve">Os 39 processos autuados configuravam um montante </w:t>
      </w:r>
      <w:r w:rsidRPr="6AFB895A" w:rsidR="009260AC">
        <w:rPr>
          <w:b w:val="1"/>
          <w:bCs w:val="1"/>
          <w:sz w:val="24"/>
          <w:szCs w:val="24"/>
          <w:u w:val="single"/>
          <w:lang w:val="pt-BR"/>
        </w:rPr>
        <w:t>estimado</w:t>
      </w:r>
      <w:r w:rsidRPr="6AFB895A" w:rsidR="009260AC">
        <w:rPr>
          <w:sz w:val="24"/>
          <w:szCs w:val="24"/>
          <w:lang w:val="pt-BR"/>
        </w:rPr>
        <w:t xml:space="preserve"> de R$ 41.976.551,89, a valores iniciais de maio de 2012, com a ressalva, na ocasião do Relatório, de que “</w:t>
      </w:r>
      <w:r w:rsidRPr="6AFB895A" w:rsidR="009260AC">
        <w:rPr>
          <w:i w:val="1"/>
          <w:iCs w:val="1"/>
          <w:sz w:val="24"/>
          <w:szCs w:val="24"/>
          <w:lang w:val="pt-BR"/>
        </w:rPr>
        <w:t>os processos que tratam de multas moratórias deverão</w:t>
      </w:r>
      <w:r w:rsidRPr="6AFB895A" w:rsidR="00941C2D">
        <w:rPr>
          <w:i w:val="1"/>
          <w:iCs w:val="1"/>
          <w:sz w:val="24"/>
          <w:szCs w:val="24"/>
          <w:lang w:val="pt-BR"/>
        </w:rPr>
        <w:t xml:space="preserve"> ter </w:t>
      </w:r>
      <w:r w:rsidRPr="6AFB895A" w:rsidR="00941C2D">
        <w:rPr>
          <w:b w:val="1"/>
          <w:bCs w:val="1"/>
          <w:i w:val="1"/>
          <w:iCs w:val="1"/>
          <w:sz w:val="24"/>
          <w:szCs w:val="24"/>
          <w:u w:val="single"/>
          <w:lang w:val="pt-BR"/>
        </w:rPr>
        <w:t>seu valor de multa atualizado</w:t>
      </w:r>
      <w:r w:rsidRPr="6AFB895A" w:rsidR="00941C2D">
        <w:rPr>
          <w:i w:val="1"/>
          <w:iCs w:val="1"/>
          <w:sz w:val="24"/>
          <w:szCs w:val="24"/>
          <w:lang w:val="pt-BR"/>
        </w:rPr>
        <w:t xml:space="preserve"> quando da decisão final, pois a contagem de tempo persiste até a completa cessação da infração correspondente</w:t>
      </w:r>
      <w:r w:rsidRPr="6AFB895A" w:rsidR="00941C2D">
        <w:rPr>
          <w:sz w:val="24"/>
          <w:szCs w:val="24"/>
          <w:lang w:val="pt-BR"/>
        </w:rPr>
        <w:t>”.</w:t>
      </w:r>
    </w:p>
    <w:p w:rsidRPr="004E5B1D" w:rsidR="00D12860" w:rsidP="00772464" w:rsidRDefault="00C10B7B" w14:paraId="6E283AD9" w14:textId="0AEC1CB5">
      <w:pPr>
        <w:pStyle w:val="ListParagraph"/>
        <w:numPr>
          <w:ilvl w:val="0"/>
          <w:numId w:val="5"/>
        </w:numPr>
        <w:spacing w:before="0" w:after="240" w:line="360" w:lineRule="auto"/>
        <w:ind w:left="0" w:firstLine="0"/>
        <w:jc w:val="both"/>
        <w:rPr>
          <w:sz w:val="24"/>
          <w:szCs w:val="24"/>
          <w:lang w:val="pt-BR"/>
        </w:rPr>
      </w:pPr>
      <w:r w:rsidRPr="6AFB895A" w:rsidR="00C10B7B">
        <w:rPr>
          <w:sz w:val="24"/>
          <w:szCs w:val="24"/>
          <w:lang w:val="pt-BR"/>
        </w:rPr>
        <w:t>Além disso, constou</w:t>
      </w:r>
      <w:r w:rsidRPr="6AFB895A" w:rsidR="00E2621B">
        <w:rPr>
          <w:sz w:val="24"/>
          <w:szCs w:val="24"/>
          <w:lang w:val="pt-BR"/>
        </w:rPr>
        <w:t xml:space="preserve"> expressamente </w:t>
      </w:r>
      <w:r w:rsidRPr="6AFB895A" w:rsidR="00E2621B">
        <w:rPr>
          <w:sz w:val="24"/>
          <w:szCs w:val="24"/>
          <w:lang w:val="pt-BR"/>
        </w:rPr>
        <w:t>no §197</w:t>
      </w:r>
      <w:r w:rsidRPr="6AFB895A" w:rsidR="00C10B7B">
        <w:rPr>
          <w:sz w:val="24"/>
          <w:szCs w:val="24"/>
          <w:lang w:val="pt-BR"/>
        </w:rPr>
        <w:t xml:space="preserve"> </w:t>
      </w:r>
      <w:r w:rsidRPr="6AFB895A" w:rsidR="00E2621B">
        <w:rPr>
          <w:sz w:val="24"/>
          <w:szCs w:val="24"/>
          <w:lang w:val="pt-BR"/>
        </w:rPr>
        <w:t>do</w:t>
      </w:r>
      <w:r w:rsidRPr="6AFB895A" w:rsidR="00C10B7B">
        <w:rPr>
          <w:sz w:val="24"/>
          <w:szCs w:val="24"/>
          <w:lang w:val="pt-BR"/>
        </w:rPr>
        <w:t xml:space="preserve"> referido Relatório que “</w:t>
      </w:r>
      <w:r w:rsidRPr="6AFB895A" w:rsidR="00C10B7B">
        <w:rPr>
          <w:i w:val="1"/>
          <w:iCs w:val="1"/>
          <w:sz w:val="24"/>
          <w:szCs w:val="24"/>
          <w:lang w:val="pt-BR"/>
        </w:rPr>
        <w:t>a título de indenização, em conformidade com o Parecer n° 01705/2016/PF-ANTT/PGF/AGU, não é possível promover o desconto de valores de multas decorrentes de infrações ainda em apuração ou ainda pendentes de análise de defesa ou recurso pela ANTT</w:t>
      </w:r>
      <w:r w:rsidRPr="6AFB895A" w:rsidR="00C10B7B">
        <w:rPr>
          <w:sz w:val="24"/>
          <w:szCs w:val="24"/>
          <w:lang w:val="pt-BR"/>
        </w:rPr>
        <w:t>”.</w:t>
      </w:r>
    </w:p>
    <w:p w:rsidR="008810D9" w:rsidP="00772464" w:rsidRDefault="008810D9" w14:paraId="6072F017" w14:textId="4F04F183">
      <w:pPr>
        <w:pStyle w:val="ListParagraph"/>
        <w:numPr>
          <w:ilvl w:val="0"/>
          <w:numId w:val="5"/>
        </w:numPr>
        <w:spacing w:before="0" w:after="240" w:line="360" w:lineRule="auto"/>
        <w:ind w:left="0" w:firstLine="0"/>
        <w:jc w:val="both"/>
        <w:rPr>
          <w:sz w:val="24"/>
          <w:szCs w:val="24"/>
          <w:lang w:val="pt-BR"/>
        </w:rPr>
      </w:pPr>
      <w:r w:rsidRPr="6AFB895A" w:rsidR="008810D9">
        <w:rPr>
          <w:sz w:val="24"/>
          <w:szCs w:val="24"/>
          <w:lang w:val="pt-BR"/>
        </w:rPr>
        <w:t>É precisamente nesse ponto que</w:t>
      </w:r>
      <w:r w:rsidRPr="6AFB895A" w:rsidR="00C10B7B">
        <w:rPr>
          <w:sz w:val="24"/>
          <w:szCs w:val="24"/>
          <w:lang w:val="pt-BR"/>
        </w:rPr>
        <w:t xml:space="preserve"> a Requerente, equivocadamente, sustenta que o disposto </w:t>
      </w:r>
      <w:r w:rsidRPr="6AFB895A" w:rsidR="0FCDEC24">
        <w:rPr>
          <w:sz w:val="24"/>
          <w:szCs w:val="24"/>
          <w:lang w:val="pt-BR"/>
        </w:rPr>
        <w:t>n</w:t>
      </w:r>
      <w:r w:rsidRPr="6AFB895A" w:rsidR="00677752">
        <w:rPr>
          <w:sz w:val="24"/>
          <w:szCs w:val="24"/>
          <w:lang w:val="pt-BR"/>
        </w:rPr>
        <w:t>o</w:t>
      </w:r>
      <w:r w:rsidRPr="6AFB895A" w:rsidR="00031273">
        <w:rPr>
          <w:sz w:val="24"/>
          <w:szCs w:val="24"/>
          <w:lang w:val="pt-BR"/>
        </w:rPr>
        <w:t xml:space="preserve"> referido parágrafo</w:t>
      </w:r>
      <w:r w:rsidRPr="6AFB895A" w:rsidR="00C10B7B">
        <w:rPr>
          <w:sz w:val="24"/>
          <w:szCs w:val="24"/>
          <w:lang w:val="pt-BR"/>
        </w:rPr>
        <w:t xml:space="preserve"> indicaria a impossibilidade de incluir como valor a ser descontado de indenização a ela</w:t>
      </w:r>
      <w:r w:rsidRPr="6AFB895A" w:rsidR="00BC258A">
        <w:rPr>
          <w:sz w:val="24"/>
          <w:szCs w:val="24"/>
          <w:lang w:val="pt-BR"/>
        </w:rPr>
        <w:t xml:space="preserve"> eventualmente</w:t>
      </w:r>
      <w:r w:rsidRPr="6AFB895A" w:rsidR="00C10B7B">
        <w:rPr>
          <w:sz w:val="24"/>
          <w:szCs w:val="24"/>
          <w:lang w:val="pt-BR"/>
        </w:rPr>
        <w:t xml:space="preserve"> devida </w:t>
      </w:r>
      <w:r w:rsidRPr="6AFB895A" w:rsidR="008810D9">
        <w:rPr>
          <w:sz w:val="24"/>
          <w:szCs w:val="24"/>
          <w:lang w:val="pt-BR"/>
        </w:rPr>
        <w:t xml:space="preserve">as </w:t>
      </w:r>
      <w:r w:rsidRPr="6AFB895A" w:rsidR="00C10B7B">
        <w:rPr>
          <w:sz w:val="24"/>
          <w:szCs w:val="24"/>
          <w:lang w:val="pt-BR"/>
        </w:rPr>
        <w:t xml:space="preserve">multas que não tivessem transitado em julgado no momento da </w:t>
      </w:r>
      <w:r w:rsidRPr="6AFB895A" w:rsidR="00D12860">
        <w:rPr>
          <w:sz w:val="24"/>
          <w:szCs w:val="24"/>
          <w:lang w:val="pt-BR"/>
        </w:rPr>
        <w:t>declaração</w:t>
      </w:r>
      <w:r w:rsidRPr="6AFB895A" w:rsidR="00C10B7B">
        <w:rPr>
          <w:sz w:val="24"/>
          <w:szCs w:val="24"/>
          <w:lang w:val="pt-BR"/>
        </w:rPr>
        <w:t xml:space="preserve"> de caducidade da concessão</w:t>
      </w:r>
      <w:r w:rsidRPr="6AFB895A" w:rsidR="00354DC1">
        <w:rPr>
          <w:sz w:val="24"/>
          <w:szCs w:val="24"/>
          <w:lang w:val="pt-BR"/>
        </w:rPr>
        <w:t xml:space="preserve">, ou seja, em </w:t>
      </w:r>
      <w:r w:rsidRPr="6AFB895A" w:rsidR="00D12860">
        <w:rPr>
          <w:sz w:val="24"/>
          <w:szCs w:val="24"/>
          <w:lang w:val="pt-BR"/>
        </w:rPr>
        <w:t xml:space="preserve">15 de agosto de 2017. </w:t>
      </w:r>
    </w:p>
    <w:p w:rsidR="00E2621B" w:rsidP="00772464" w:rsidRDefault="00D12860" w14:paraId="777F08BC" w14:textId="52CA4FD6">
      <w:pPr>
        <w:pStyle w:val="ListParagraph"/>
        <w:numPr>
          <w:ilvl w:val="0"/>
          <w:numId w:val="5"/>
        </w:numPr>
        <w:spacing w:before="0" w:after="240" w:line="360" w:lineRule="auto"/>
        <w:ind w:left="0" w:firstLine="0"/>
        <w:jc w:val="both"/>
        <w:rPr>
          <w:sz w:val="24"/>
          <w:szCs w:val="24"/>
          <w:lang w:val="pt-BR"/>
        </w:rPr>
      </w:pPr>
      <w:r w:rsidRPr="6AFB895A" w:rsidR="00D12860">
        <w:rPr>
          <w:sz w:val="24"/>
          <w:szCs w:val="24"/>
          <w:lang w:val="pt-BR"/>
        </w:rPr>
        <w:t xml:space="preserve">Esse entendimento, </w:t>
      </w:r>
      <w:r w:rsidRPr="6AFB895A" w:rsidR="00E2621B">
        <w:rPr>
          <w:sz w:val="24"/>
          <w:szCs w:val="24"/>
          <w:lang w:val="pt-BR"/>
        </w:rPr>
        <w:t>com</w:t>
      </w:r>
      <w:r w:rsidRPr="6AFB895A" w:rsidR="002249FF">
        <w:rPr>
          <w:sz w:val="24"/>
          <w:szCs w:val="24"/>
          <w:lang w:val="pt-BR"/>
        </w:rPr>
        <w:t>o</w:t>
      </w:r>
      <w:r w:rsidRPr="6AFB895A" w:rsidR="00E2621B">
        <w:rPr>
          <w:sz w:val="24"/>
          <w:szCs w:val="24"/>
          <w:lang w:val="pt-BR"/>
        </w:rPr>
        <w:t xml:space="preserve"> se vê</w:t>
      </w:r>
      <w:r w:rsidRPr="6AFB895A" w:rsidR="00D12860">
        <w:rPr>
          <w:sz w:val="24"/>
          <w:szCs w:val="24"/>
          <w:lang w:val="pt-BR"/>
        </w:rPr>
        <w:t>, revela-se</w:t>
      </w:r>
      <w:r w:rsidRPr="6AFB895A" w:rsidR="001C57D8">
        <w:rPr>
          <w:sz w:val="24"/>
          <w:szCs w:val="24"/>
          <w:lang w:val="pt-BR"/>
        </w:rPr>
        <w:t xml:space="preserve"> </w:t>
      </w:r>
      <w:r w:rsidRPr="6AFB895A" w:rsidR="00D12860">
        <w:rPr>
          <w:sz w:val="24"/>
          <w:szCs w:val="24"/>
          <w:lang w:val="pt-BR"/>
        </w:rPr>
        <w:t xml:space="preserve">deturpado, </w:t>
      </w:r>
      <w:r w:rsidRPr="6AFB895A" w:rsidR="00E2621B">
        <w:rPr>
          <w:sz w:val="24"/>
          <w:szCs w:val="24"/>
          <w:lang w:val="pt-BR"/>
        </w:rPr>
        <w:t>afigurando-se</w:t>
      </w:r>
      <w:r w:rsidRPr="6AFB895A" w:rsidR="008810D9">
        <w:rPr>
          <w:sz w:val="24"/>
          <w:szCs w:val="24"/>
          <w:lang w:val="pt-BR"/>
        </w:rPr>
        <w:t>, numa primeira análise,</w:t>
      </w:r>
      <w:r w:rsidRPr="6AFB895A" w:rsidR="00E2621B">
        <w:rPr>
          <w:sz w:val="24"/>
          <w:szCs w:val="24"/>
          <w:lang w:val="pt-BR"/>
        </w:rPr>
        <w:t xml:space="preserve"> como</w:t>
      </w:r>
      <w:r w:rsidRPr="6AFB895A" w:rsidR="00677752">
        <w:rPr>
          <w:sz w:val="24"/>
          <w:szCs w:val="24"/>
          <w:lang w:val="pt-BR"/>
        </w:rPr>
        <w:t xml:space="preserve"> uma</w:t>
      </w:r>
      <w:r w:rsidRPr="6AFB895A" w:rsidR="00E2621B">
        <w:rPr>
          <w:sz w:val="24"/>
          <w:szCs w:val="24"/>
          <w:lang w:val="pt-BR"/>
        </w:rPr>
        <w:t xml:space="preserve"> clara tentativa de afastar indevidamente sua responsabilidade pelos descumprimentos contratuais</w:t>
      </w:r>
      <w:r w:rsidRPr="6AFB895A" w:rsidR="00BC258A">
        <w:rPr>
          <w:sz w:val="24"/>
          <w:szCs w:val="24"/>
          <w:lang w:val="pt-BR"/>
        </w:rPr>
        <w:t xml:space="preserve"> constatados no curso da vigência do contrato.</w:t>
      </w:r>
      <w:r w:rsidRPr="6AFB895A" w:rsidR="00E2621B">
        <w:rPr>
          <w:sz w:val="24"/>
          <w:szCs w:val="24"/>
          <w:lang w:val="pt-BR"/>
        </w:rPr>
        <w:t xml:space="preserve"> </w:t>
      </w:r>
      <w:r w:rsidRPr="6AFB895A" w:rsidR="008810D9">
        <w:rPr>
          <w:sz w:val="24"/>
          <w:szCs w:val="24"/>
          <w:lang w:val="pt-BR"/>
        </w:rPr>
        <w:t xml:space="preserve">Noutra medida, </w:t>
      </w:r>
      <w:r w:rsidRPr="6AFB895A" w:rsidR="00677752">
        <w:rPr>
          <w:sz w:val="24"/>
          <w:szCs w:val="24"/>
          <w:lang w:val="pt-BR"/>
        </w:rPr>
        <w:t xml:space="preserve">numa via flagrantemente descabida e </w:t>
      </w:r>
      <w:r w:rsidRPr="6AFB895A" w:rsidR="008810D9">
        <w:rPr>
          <w:sz w:val="24"/>
          <w:szCs w:val="24"/>
          <w:lang w:val="pt-BR"/>
        </w:rPr>
        <w:t xml:space="preserve">sem qualquer </w:t>
      </w:r>
      <w:r w:rsidRPr="6AFB895A" w:rsidR="00677752">
        <w:rPr>
          <w:sz w:val="24"/>
          <w:szCs w:val="24"/>
          <w:lang w:val="pt-BR"/>
        </w:rPr>
        <w:t>respaldo</w:t>
      </w:r>
      <w:r w:rsidRPr="6AFB895A" w:rsidR="008810D9">
        <w:rPr>
          <w:sz w:val="24"/>
          <w:szCs w:val="24"/>
          <w:lang w:val="pt-BR"/>
        </w:rPr>
        <w:t xml:space="preserve"> normativ</w:t>
      </w:r>
      <w:r w:rsidRPr="6AFB895A" w:rsidR="00677752">
        <w:rPr>
          <w:sz w:val="24"/>
          <w:szCs w:val="24"/>
          <w:lang w:val="pt-BR"/>
        </w:rPr>
        <w:t>o</w:t>
      </w:r>
      <w:r w:rsidRPr="6AFB895A" w:rsidR="008810D9">
        <w:rPr>
          <w:sz w:val="24"/>
          <w:szCs w:val="24"/>
          <w:lang w:val="pt-BR"/>
        </w:rPr>
        <w:t xml:space="preserve">, busca a Requerente suplantar o ilógico entendimento de que a declaração de caducidade subtrai o dever de a Administração Pública dar andamento aos processos administrativos decorrentes </w:t>
      </w:r>
      <w:r w:rsidRPr="6AFB895A" w:rsidR="002249FF">
        <w:rPr>
          <w:sz w:val="24"/>
          <w:szCs w:val="24"/>
          <w:lang w:val="pt-BR"/>
        </w:rPr>
        <w:t>de atos anteriores aferidos no curso da execução do ajuste firmado.</w:t>
      </w:r>
    </w:p>
    <w:p w:rsidR="007531F8" w:rsidP="0041601A" w:rsidRDefault="002249FF" w14:paraId="362BB12D" w14:textId="0E111F8F">
      <w:pPr>
        <w:pStyle w:val="ListParagraph"/>
        <w:numPr>
          <w:ilvl w:val="0"/>
          <w:numId w:val="5"/>
        </w:numPr>
        <w:spacing w:before="0" w:after="240" w:line="360" w:lineRule="auto"/>
        <w:ind w:left="0" w:firstLine="0"/>
        <w:jc w:val="both"/>
        <w:rPr>
          <w:sz w:val="24"/>
          <w:szCs w:val="24"/>
          <w:lang w:val="pt-BR"/>
        </w:rPr>
      </w:pPr>
      <w:r w:rsidRPr="6AFB895A" w:rsidR="002249FF">
        <w:rPr>
          <w:sz w:val="24"/>
          <w:szCs w:val="24"/>
          <w:lang w:val="pt-BR"/>
        </w:rPr>
        <w:t>Por óbvio, é forçoso perceber que a manifestação técnica emitida apenas constatou que</w:t>
      </w:r>
      <w:r w:rsidRPr="6AFB895A" w:rsidR="0041601A">
        <w:rPr>
          <w:sz w:val="24"/>
          <w:szCs w:val="24"/>
          <w:lang w:val="pt-BR"/>
        </w:rPr>
        <w:t xml:space="preserve"> as multas</w:t>
      </w:r>
      <w:r w:rsidRPr="6AFB895A" w:rsidR="002249FF">
        <w:rPr>
          <w:sz w:val="24"/>
          <w:szCs w:val="24"/>
          <w:lang w:val="pt-BR"/>
        </w:rPr>
        <w:t xml:space="preserve"> </w:t>
      </w:r>
      <w:r w:rsidRPr="6AFB895A" w:rsidR="0041601A">
        <w:rPr>
          <w:sz w:val="24"/>
          <w:szCs w:val="24"/>
          <w:lang w:val="pt-BR"/>
        </w:rPr>
        <w:t>cujos processos não</w:t>
      </w:r>
      <w:r w:rsidRPr="6AFB895A" w:rsidR="002249FF">
        <w:rPr>
          <w:sz w:val="24"/>
          <w:szCs w:val="24"/>
          <w:lang w:val="pt-BR"/>
        </w:rPr>
        <w:t xml:space="preserve"> estavam, </w:t>
      </w:r>
      <w:r w:rsidRPr="6AFB895A" w:rsidR="002249FF">
        <w:rPr>
          <w:b w:val="1"/>
          <w:bCs w:val="1"/>
          <w:sz w:val="24"/>
          <w:szCs w:val="24"/>
          <w:u w:val="single"/>
          <w:lang w:val="pt-BR"/>
        </w:rPr>
        <w:t>à época</w:t>
      </w:r>
      <w:r w:rsidRPr="6AFB895A" w:rsidR="002249FF">
        <w:rPr>
          <w:sz w:val="24"/>
          <w:szCs w:val="24"/>
          <w:lang w:val="pt-BR"/>
        </w:rPr>
        <w:t>,</w:t>
      </w:r>
      <w:r w:rsidRPr="6AFB895A" w:rsidR="0041601A">
        <w:rPr>
          <w:sz w:val="24"/>
          <w:szCs w:val="24"/>
          <w:lang w:val="pt-BR"/>
        </w:rPr>
        <w:t xml:space="preserve"> </w:t>
      </w:r>
      <w:r w:rsidRPr="6AFB895A" w:rsidR="002249FF">
        <w:rPr>
          <w:sz w:val="24"/>
          <w:szCs w:val="24"/>
          <w:lang w:val="pt-BR"/>
        </w:rPr>
        <w:t>transitados</w:t>
      </w:r>
      <w:r w:rsidRPr="6AFB895A" w:rsidR="0041601A">
        <w:rPr>
          <w:sz w:val="24"/>
          <w:szCs w:val="24"/>
          <w:lang w:val="pt-BR"/>
        </w:rPr>
        <w:t xml:space="preserve"> em julgado não </w:t>
      </w:r>
      <w:r w:rsidRPr="6AFB895A" w:rsidR="002249FF">
        <w:rPr>
          <w:sz w:val="24"/>
          <w:szCs w:val="24"/>
          <w:lang w:val="pt-BR"/>
        </w:rPr>
        <w:t>eram</w:t>
      </w:r>
      <w:r w:rsidRPr="6AFB895A" w:rsidR="0041601A">
        <w:rPr>
          <w:sz w:val="24"/>
          <w:szCs w:val="24"/>
          <w:lang w:val="pt-BR"/>
        </w:rPr>
        <w:t xml:space="preserve"> </w:t>
      </w:r>
      <w:r w:rsidRPr="6AFB895A" w:rsidR="0041601A">
        <w:rPr>
          <w:b w:val="1"/>
          <w:bCs w:val="1"/>
          <w:sz w:val="24"/>
          <w:szCs w:val="24"/>
          <w:lang w:val="pt-BR"/>
        </w:rPr>
        <w:t>valores líquidos e certos</w:t>
      </w:r>
      <w:r w:rsidRPr="6AFB895A" w:rsidR="0041601A">
        <w:rPr>
          <w:sz w:val="24"/>
          <w:szCs w:val="24"/>
          <w:lang w:val="pt-BR"/>
        </w:rPr>
        <w:t xml:space="preserve">, motivo pelos quais, até a data de trânsito em julgado, não </w:t>
      </w:r>
      <w:r w:rsidRPr="6AFB895A" w:rsidR="002249FF">
        <w:rPr>
          <w:sz w:val="24"/>
          <w:szCs w:val="24"/>
          <w:lang w:val="pt-BR"/>
        </w:rPr>
        <w:t>poderiam</w:t>
      </w:r>
      <w:r w:rsidRPr="6AFB895A" w:rsidR="0041601A">
        <w:rPr>
          <w:sz w:val="24"/>
          <w:szCs w:val="24"/>
          <w:lang w:val="pt-BR"/>
        </w:rPr>
        <w:t xml:space="preserve"> ser </w:t>
      </w:r>
      <w:r w:rsidRPr="6AFB895A" w:rsidR="00677752">
        <w:rPr>
          <w:sz w:val="24"/>
          <w:szCs w:val="24"/>
          <w:lang w:val="pt-BR"/>
        </w:rPr>
        <w:t>elencados</w:t>
      </w:r>
      <w:r w:rsidRPr="6AFB895A" w:rsidR="0041601A">
        <w:rPr>
          <w:sz w:val="24"/>
          <w:szCs w:val="24"/>
          <w:lang w:val="pt-BR"/>
        </w:rPr>
        <w:t xml:space="preserve"> para fins do cálculo do desconto d</w:t>
      </w:r>
      <w:r w:rsidRPr="6AFB895A" w:rsidR="227D7D2E">
        <w:rPr>
          <w:sz w:val="24"/>
          <w:szCs w:val="24"/>
          <w:lang w:val="pt-BR"/>
        </w:rPr>
        <w:t>e eventual</w:t>
      </w:r>
      <w:r w:rsidRPr="6AFB895A" w:rsidR="0041601A">
        <w:rPr>
          <w:sz w:val="24"/>
          <w:szCs w:val="24"/>
          <w:lang w:val="pt-BR"/>
        </w:rPr>
        <w:t xml:space="preserve"> indenização. </w:t>
      </w:r>
    </w:p>
    <w:p w:rsidR="00F0481B" w:rsidP="00F0481B" w:rsidRDefault="00F0481B" w14:paraId="21022A6F" w14:textId="4D35F849">
      <w:pPr>
        <w:pStyle w:val="ListParagraph"/>
        <w:numPr>
          <w:ilvl w:val="0"/>
          <w:numId w:val="5"/>
        </w:numPr>
        <w:spacing w:before="0" w:after="240" w:line="360" w:lineRule="auto"/>
        <w:ind w:left="0" w:firstLine="0"/>
        <w:jc w:val="both"/>
        <w:rPr>
          <w:sz w:val="24"/>
          <w:szCs w:val="24"/>
          <w:lang w:val="pt-BR"/>
        </w:rPr>
      </w:pPr>
      <w:r w:rsidRPr="6AFB895A" w:rsidR="00F0481B">
        <w:rPr>
          <w:sz w:val="24"/>
          <w:szCs w:val="24"/>
          <w:lang w:val="pt-BR"/>
        </w:rPr>
        <w:t xml:space="preserve">Quanto às parcelas de verbas de fiscalização, os valores adicionais apresentados em relação àqueles constantes do Relatório Final da Comissão Processante decorrem do </w:t>
      </w:r>
      <w:r w:rsidRPr="6AFB895A" w:rsidR="5DC35A94">
        <w:rPr>
          <w:sz w:val="24"/>
          <w:szCs w:val="24"/>
          <w:lang w:val="pt-BR"/>
        </w:rPr>
        <w:t>transcurso de tempo</w:t>
      </w:r>
      <w:r w:rsidRPr="6AFB895A" w:rsidR="00F0481B">
        <w:rPr>
          <w:sz w:val="24"/>
          <w:szCs w:val="24"/>
          <w:lang w:val="pt-BR"/>
        </w:rPr>
        <w:t xml:space="preserve"> existente entre o marco temporal considerado no relatório, qual seja, novembro de 2016, e a data da declaração de caducidade, em 15 de agosto de 2017, atualizadas conforme proclama as normas de regência.  Veja-se, inclusive, que a </w:t>
      </w:r>
      <w:r w:rsidRPr="6AFB895A" w:rsidR="00F0481B">
        <w:rPr>
          <w:b w:val="1"/>
          <w:bCs w:val="1"/>
          <w:sz w:val="24"/>
          <w:szCs w:val="24"/>
          <w:lang w:val="pt-BR"/>
        </w:rPr>
        <w:t>cláusula 15.9 do Contrato é cristalina no sentido de determinar que o recolhimento dessas verbas é devido até o fim do prazo do Contrato.</w:t>
      </w:r>
    </w:p>
    <w:p w:rsidRPr="004E5B1D" w:rsidR="00566FE3" w:rsidP="0041601A" w:rsidRDefault="009A2EF0" w14:paraId="531BC2F1" w14:textId="77345B9D">
      <w:pPr>
        <w:pStyle w:val="ListParagraph"/>
        <w:numPr>
          <w:ilvl w:val="0"/>
          <w:numId w:val="5"/>
        </w:numPr>
        <w:spacing w:before="0" w:after="240" w:line="360" w:lineRule="auto"/>
        <w:ind w:left="0" w:firstLine="0"/>
        <w:jc w:val="both"/>
        <w:rPr>
          <w:sz w:val="24"/>
          <w:szCs w:val="24"/>
          <w:lang w:val="pt-BR"/>
        </w:rPr>
      </w:pPr>
      <w:r w:rsidR="009A2EF0">
        <w:rPr>
          <w:sz w:val="24"/>
          <w:szCs w:val="24"/>
          <w:lang w:val="pt-BR"/>
        </w:rPr>
        <w:t>Não bastasse as razões lógico-jurídica</w:t>
      </w:r>
      <w:r w:rsidR="008036AE">
        <w:rPr>
          <w:sz w:val="24"/>
          <w:szCs w:val="24"/>
          <w:lang w:val="pt-BR"/>
        </w:rPr>
        <w:t>s</w:t>
      </w:r>
      <w:r w:rsidR="009A2EF0">
        <w:rPr>
          <w:sz w:val="24"/>
          <w:szCs w:val="24"/>
          <w:lang w:val="pt-BR"/>
        </w:rPr>
        <w:t xml:space="preserve"> d</w:t>
      </w:r>
      <w:r w:rsidR="008036AE">
        <w:rPr>
          <w:sz w:val="24"/>
          <w:szCs w:val="24"/>
          <w:lang w:val="pt-BR"/>
        </w:rPr>
        <w:t>e tal</w:t>
      </w:r>
      <w:r w:rsidR="009A2EF0">
        <w:rPr>
          <w:sz w:val="24"/>
          <w:szCs w:val="24"/>
          <w:lang w:val="pt-BR"/>
        </w:rPr>
        <w:t xml:space="preserve"> conclusão, a </w:t>
      </w:r>
      <w:r w:rsidR="008036AE">
        <w:rPr>
          <w:sz w:val="24"/>
          <w:szCs w:val="24"/>
          <w:lang w:val="pt-BR"/>
        </w:rPr>
        <w:t>construção</w:t>
      </w:r>
      <w:r w:rsidR="009A2EF0">
        <w:rPr>
          <w:sz w:val="24"/>
          <w:szCs w:val="24"/>
          <w:lang w:val="pt-BR"/>
        </w:rPr>
        <w:t xml:space="preserve"> semântica da manifestação técnica </w:t>
      </w:r>
      <w:r w:rsidR="008036AE">
        <w:rPr>
          <w:sz w:val="24"/>
          <w:szCs w:val="24"/>
          <w:lang w:val="pt-BR"/>
        </w:rPr>
        <w:t xml:space="preserve">destaca a </w:t>
      </w:r>
      <w:r w:rsidRPr="004E5B1D" w:rsidR="00835895">
        <w:rPr>
          <w:sz w:val="24"/>
          <w:szCs w:val="24"/>
          <w:lang w:val="pt-BR"/>
        </w:rPr>
        <w:t xml:space="preserve">condição temporal </w:t>
      </w:r>
      <w:r w:rsidR="008036AE">
        <w:rPr>
          <w:sz w:val="24"/>
          <w:szCs w:val="24"/>
          <w:lang w:val="pt-BR"/>
        </w:rPr>
        <w:t>incidente na avaliação na época de sua feitura</w:t>
      </w:r>
      <w:r w:rsidRPr="004E5B1D" w:rsidR="00835895">
        <w:rPr>
          <w:sz w:val="24"/>
          <w:szCs w:val="24"/>
          <w:lang w:val="pt-BR"/>
        </w:rPr>
        <w:t xml:space="preserve">, </w:t>
      </w:r>
      <w:r w:rsidR="008036AE">
        <w:rPr>
          <w:sz w:val="24"/>
          <w:szCs w:val="24"/>
          <w:lang w:val="pt-BR"/>
        </w:rPr>
        <w:t>contextualizando a discussão</w:t>
      </w:r>
      <w:r w:rsidRPr="004E5B1D" w:rsidR="00835895">
        <w:rPr>
          <w:sz w:val="24"/>
          <w:szCs w:val="24"/>
          <w:lang w:val="pt-BR"/>
        </w:rPr>
        <w:t xml:space="preserve"> </w:t>
      </w:r>
      <w:r w:rsidR="008036AE">
        <w:rPr>
          <w:sz w:val="24"/>
          <w:szCs w:val="24"/>
          <w:lang w:val="pt-BR"/>
        </w:rPr>
        <w:t xml:space="preserve">com uso da expressão adverbial </w:t>
      </w:r>
      <w:r w:rsidRPr="004E5B1D" w:rsidR="00835895">
        <w:rPr>
          <w:sz w:val="24"/>
          <w:szCs w:val="24"/>
          <w:lang w:val="pt-BR"/>
        </w:rPr>
        <w:t>“</w:t>
      </w:r>
      <w:r w:rsidRPr="009A2EF0" w:rsidR="00835895">
        <w:rPr>
          <w:b w:val="1"/>
          <w:bCs w:val="1"/>
          <w:sz w:val="24"/>
          <w:szCs w:val="24"/>
          <w:u w:val="single"/>
          <w:lang w:val="pt-BR"/>
        </w:rPr>
        <w:t>ainda</w:t>
      </w:r>
      <w:r w:rsidRPr="004E5B1D" w:rsidR="00835895">
        <w:rPr>
          <w:sz w:val="24"/>
          <w:szCs w:val="24"/>
          <w:lang w:val="pt-BR"/>
        </w:rPr>
        <w:t>”</w:t>
      </w:r>
      <w:r>
        <w:rPr>
          <w:rStyle w:val="FootnoteReference"/>
          <w:sz w:val="24"/>
          <w:szCs w:val="24"/>
          <w:lang w:val="pt-BR"/>
        </w:rPr>
        <w:footnoteReference w:id="2"/>
      </w:r>
      <w:r w:rsidRPr="004E5B1D" w:rsidR="00835895">
        <w:rPr>
          <w:sz w:val="24"/>
          <w:szCs w:val="24"/>
          <w:lang w:val="pt-BR"/>
        </w:rPr>
        <w:t xml:space="preserve">. </w:t>
      </w:r>
      <w:r w:rsidR="009A2EF0">
        <w:rPr>
          <w:sz w:val="24"/>
          <w:szCs w:val="24"/>
          <w:lang w:val="pt-BR"/>
        </w:rPr>
        <w:t>Havia</w:t>
      </w:r>
      <w:r w:rsidR="00677752">
        <w:rPr>
          <w:sz w:val="24"/>
          <w:szCs w:val="24"/>
          <w:lang w:val="pt-BR"/>
        </w:rPr>
        <w:t xml:space="preserve">, assim, </w:t>
      </w:r>
      <w:r w:rsidR="009A2EF0">
        <w:rPr>
          <w:sz w:val="24"/>
          <w:szCs w:val="24"/>
          <w:lang w:val="pt-BR"/>
        </w:rPr>
        <w:t>limitações à eventual compensação de multas ainda discutidas em sede administrativa</w:t>
      </w:r>
      <w:r w:rsidR="00677752">
        <w:rPr>
          <w:sz w:val="24"/>
          <w:szCs w:val="24"/>
          <w:lang w:val="pt-BR"/>
        </w:rPr>
        <w:t xml:space="preserve"> – sujeitas, portanto, à alteração -</w:t>
      </w:r>
      <w:r w:rsidR="009A2EF0">
        <w:rPr>
          <w:sz w:val="24"/>
          <w:szCs w:val="24"/>
          <w:lang w:val="pt-BR"/>
        </w:rPr>
        <w:t xml:space="preserve"> que </w:t>
      </w:r>
      <w:r w:rsidR="008036AE">
        <w:rPr>
          <w:sz w:val="24"/>
          <w:szCs w:val="24"/>
          <w:lang w:val="pt-BR"/>
        </w:rPr>
        <w:t>persistiria</w:t>
      </w:r>
      <w:r w:rsidR="00677752">
        <w:rPr>
          <w:sz w:val="24"/>
          <w:szCs w:val="24"/>
          <w:lang w:val="pt-BR"/>
        </w:rPr>
        <w:t>m</w:t>
      </w:r>
      <w:r w:rsidRPr="004E5B1D" w:rsidR="00835895">
        <w:rPr>
          <w:sz w:val="24"/>
          <w:szCs w:val="24"/>
          <w:lang w:val="pt-BR"/>
        </w:rPr>
        <w:t xml:space="preserve"> apenas enquanto perdurar o processo até o </w:t>
      </w:r>
      <w:r w:rsidRPr="004E5B1D" w:rsidR="00BC258A">
        <w:rPr>
          <w:sz w:val="24"/>
          <w:szCs w:val="24"/>
          <w:lang w:val="pt-BR"/>
        </w:rPr>
        <w:t>trânsito</w:t>
      </w:r>
      <w:r w:rsidRPr="004E5B1D" w:rsidR="00835895">
        <w:rPr>
          <w:sz w:val="24"/>
          <w:szCs w:val="24"/>
          <w:lang w:val="pt-BR"/>
        </w:rPr>
        <w:t xml:space="preserve"> em julgado</w:t>
      </w:r>
      <w:r w:rsidR="009A2EF0">
        <w:rPr>
          <w:sz w:val="24"/>
          <w:szCs w:val="24"/>
          <w:lang w:val="pt-BR"/>
        </w:rPr>
        <w:t>.</w:t>
      </w:r>
    </w:p>
    <w:p w:rsidR="00E41BDD" w:rsidP="00A238A1" w:rsidRDefault="008036AE" w14:paraId="4BB8C186" w14:textId="4A3303F1">
      <w:pPr>
        <w:pStyle w:val="ListParagraph"/>
        <w:numPr>
          <w:ilvl w:val="0"/>
          <w:numId w:val="5"/>
        </w:numPr>
        <w:spacing w:before="0" w:after="240" w:line="360" w:lineRule="auto"/>
        <w:ind w:left="0" w:firstLine="0"/>
        <w:jc w:val="both"/>
        <w:rPr>
          <w:sz w:val="24"/>
          <w:szCs w:val="24"/>
          <w:lang w:val="pt-BR"/>
        </w:rPr>
      </w:pPr>
      <w:r w:rsidRPr="6AFB895A" w:rsidR="008036AE">
        <w:rPr>
          <w:sz w:val="24"/>
          <w:szCs w:val="24"/>
          <w:lang w:val="pt-BR"/>
        </w:rPr>
        <w:t xml:space="preserve">Nesse sentido, o </w:t>
      </w:r>
      <w:r w:rsidRPr="6AFB895A" w:rsidR="00E41BDD">
        <w:rPr>
          <w:sz w:val="24"/>
          <w:szCs w:val="24"/>
          <w:lang w:val="pt-BR"/>
        </w:rPr>
        <w:t>§</w:t>
      </w:r>
      <w:r w:rsidRPr="6AFB895A" w:rsidR="008036AE">
        <w:rPr>
          <w:sz w:val="24"/>
          <w:szCs w:val="24"/>
          <w:lang w:val="pt-BR"/>
        </w:rPr>
        <w:t xml:space="preserve"> </w:t>
      </w:r>
      <w:r w:rsidRPr="6AFB895A" w:rsidR="00E41BDD">
        <w:rPr>
          <w:sz w:val="24"/>
          <w:szCs w:val="24"/>
          <w:lang w:val="pt-BR"/>
        </w:rPr>
        <w:t>200 do Relatório informa que a área técnica da ANTT</w:t>
      </w:r>
      <w:r w:rsidRPr="6AFB895A" w:rsidR="008036AE">
        <w:rPr>
          <w:sz w:val="24"/>
          <w:szCs w:val="24"/>
          <w:lang w:val="pt-BR"/>
        </w:rPr>
        <w:t xml:space="preserve">, </w:t>
      </w:r>
      <w:r w:rsidRPr="6AFB895A" w:rsidR="008036AE">
        <w:rPr>
          <w:i w:val="1"/>
          <w:iCs w:val="1"/>
          <w:sz w:val="24"/>
          <w:szCs w:val="24"/>
          <w:lang w:val="pt-BR"/>
        </w:rPr>
        <w:t>em estrito cumprimento de suas obrigações regulamentares,</w:t>
      </w:r>
      <w:r w:rsidRPr="6AFB895A" w:rsidR="00E41BDD">
        <w:rPr>
          <w:i w:val="1"/>
          <w:iCs w:val="1"/>
          <w:sz w:val="24"/>
          <w:szCs w:val="24"/>
          <w:lang w:val="pt-BR"/>
        </w:rPr>
        <w:t xml:space="preserve"> </w:t>
      </w:r>
      <w:r w:rsidRPr="6AFB895A" w:rsidR="00E41BDD">
        <w:rPr>
          <w:sz w:val="24"/>
          <w:szCs w:val="24"/>
          <w:lang w:val="pt-BR"/>
        </w:rPr>
        <w:t>continuar</w:t>
      </w:r>
      <w:r w:rsidRPr="6AFB895A" w:rsidR="00A20805">
        <w:rPr>
          <w:sz w:val="24"/>
          <w:szCs w:val="24"/>
          <w:lang w:val="pt-BR"/>
        </w:rPr>
        <w:t>ia</w:t>
      </w:r>
      <w:r w:rsidRPr="6AFB895A" w:rsidR="00E41BDD">
        <w:rPr>
          <w:sz w:val="24"/>
          <w:szCs w:val="24"/>
          <w:lang w:val="pt-BR"/>
        </w:rPr>
        <w:t xml:space="preserve"> apurando</w:t>
      </w:r>
      <w:r w:rsidRPr="6AFB895A" w:rsidR="008036AE">
        <w:rPr>
          <w:sz w:val="24"/>
          <w:szCs w:val="24"/>
          <w:lang w:val="pt-BR"/>
        </w:rPr>
        <w:t xml:space="preserve"> eventuais</w:t>
      </w:r>
      <w:r w:rsidRPr="6AFB895A" w:rsidR="00E41BDD">
        <w:rPr>
          <w:sz w:val="24"/>
          <w:szCs w:val="24"/>
          <w:lang w:val="pt-BR"/>
        </w:rPr>
        <w:t xml:space="preserve"> infrações</w:t>
      </w:r>
      <w:r w:rsidRPr="6AFB895A" w:rsidR="008036AE">
        <w:rPr>
          <w:sz w:val="24"/>
          <w:szCs w:val="24"/>
          <w:lang w:val="pt-BR"/>
        </w:rPr>
        <w:t xml:space="preserve"> cometidas</w:t>
      </w:r>
      <w:r w:rsidRPr="6AFB895A" w:rsidR="00E41BDD">
        <w:rPr>
          <w:sz w:val="24"/>
          <w:szCs w:val="24"/>
          <w:lang w:val="pt-BR"/>
        </w:rPr>
        <w:t xml:space="preserve"> e instaurando </w:t>
      </w:r>
      <w:r w:rsidRPr="6AFB895A" w:rsidR="008036AE">
        <w:rPr>
          <w:sz w:val="24"/>
          <w:szCs w:val="24"/>
          <w:lang w:val="pt-BR"/>
        </w:rPr>
        <w:t xml:space="preserve">novos </w:t>
      </w:r>
      <w:r w:rsidRPr="6AFB895A" w:rsidR="00E41BDD">
        <w:rPr>
          <w:sz w:val="24"/>
          <w:szCs w:val="24"/>
          <w:lang w:val="pt-BR"/>
        </w:rPr>
        <w:t>processos de penalidades</w:t>
      </w:r>
      <w:r w:rsidRPr="6AFB895A" w:rsidR="00A20805">
        <w:rPr>
          <w:sz w:val="24"/>
          <w:szCs w:val="24"/>
          <w:lang w:val="pt-BR"/>
        </w:rPr>
        <w:t xml:space="preserve"> por eventuais descumprimentos,</w:t>
      </w:r>
      <w:r w:rsidRPr="6AFB895A" w:rsidR="00E41BDD">
        <w:rPr>
          <w:sz w:val="24"/>
          <w:szCs w:val="24"/>
          <w:lang w:val="pt-BR"/>
        </w:rPr>
        <w:t xml:space="preserve"> enquanto o Contrato permanecesse vigente. </w:t>
      </w:r>
      <w:r w:rsidRPr="6AFB895A" w:rsidR="00A20805">
        <w:rPr>
          <w:sz w:val="24"/>
          <w:szCs w:val="24"/>
          <w:lang w:val="pt-BR"/>
        </w:rPr>
        <w:t>De forma ainda mais enfática, o</w:t>
      </w:r>
      <w:r w:rsidRPr="6AFB895A" w:rsidR="00C77231">
        <w:rPr>
          <w:sz w:val="24"/>
          <w:szCs w:val="24"/>
          <w:lang w:val="pt-BR"/>
        </w:rPr>
        <w:t xml:space="preserve"> §</w:t>
      </w:r>
      <w:r w:rsidRPr="6AFB895A" w:rsidR="00A20805">
        <w:rPr>
          <w:sz w:val="24"/>
          <w:szCs w:val="24"/>
          <w:lang w:val="pt-BR"/>
        </w:rPr>
        <w:t xml:space="preserve"> </w:t>
      </w:r>
      <w:r w:rsidRPr="6AFB895A" w:rsidR="00C77231">
        <w:rPr>
          <w:sz w:val="24"/>
          <w:szCs w:val="24"/>
          <w:lang w:val="pt-BR"/>
        </w:rPr>
        <w:t>211 do Relatório aponta que o</w:t>
      </w:r>
      <w:r w:rsidRPr="6AFB895A" w:rsidR="00A20805">
        <w:rPr>
          <w:sz w:val="24"/>
          <w:szCs w:val="24"/>
          <w:lang w:val="pt-BR"/>
        </w:rPr>
        <w:t>s</w:t>
      </w:r>
      <w:r w:rsidRPr="6AFB895A" w:rsidR="00C77231">
        <w:rPr>
          <w:sz w:val="24"/>
          <w:szCs w:val="24"/>
          <w:lang w:val="pt-BR"/>
        </w:rPr>
        <w:t xml:space="preserve"> valor</w:t>
      </w:r>
      <w:r w:rsidRPr="6AFB895A" w:rsidR="00A20805">
        <w:rPr>
          <w:sz w:val="24"/>
          <w:szCs w:val="24"/>
          <w:lang w:val="pt-BR"/>
        </w:rPr>
        <w:t>es</w:t>
      </w:r>
      <w:r w:rsidRPr="6AFB895A" w:rsidR="00C77231">
        <w:rPr>
          <w:sz w:val="24"/>
          <w:szCs w:val="24"/>
          <w:lang w:val="pt-BR"/>
        </w:rPr>
        <w:t xml:space="preserve"> ali indicado</w:t>
      </w:r>
      <w:r w:rsidRPr="6AFB895A" w:rsidR="00677752">
        <w:rPr>
          <w:sz w:val="24"/>
          <w:szCs w:val="24"/>
          <w:lang w:val="pt-BR"/>
        </w:rPr>
        <w:t>s</w:t>
      </w:r>
      <w:r w:rsidRPr="6AFB895A" w:rsidR="00C77231">
        <w:rPr>
          <w:sz w:val="24"/>
          <w:szCs w:val="24"/>
          <w:lang w:val="pt-BR"/>
        </w:rPr>
        <w:t xml:space="preserve"> </w:t>
      </w:r>
      <w:r w:rsidRPr="6AFB895A" w:rsidR="00A20805">
        <w:rPr>
          <w:sz w:val="24"/>
          <w:szCs w:val="24"/>
          <w:lang w:val="pt-BR"/>
        </w:rPr>
        <w:t xml:space="preserve">têm </w:t>
      </w:r>
      <w:r w:rsidRPr="6AFB895A" w:rsidR="00C77231">
        <w:rPr>
          <w:sz w:val="24"/>
          <w:szCs w:val="24"/>
          <w:lang w:val="pt-BR"/>
        </w:rPr>
        <w:t>caráter preliminar</w:t>
      </w:r>
      <w:r w:rsidRPr="6AFB895A" w:rsidR="00A20805">
        <w:rPr>
          <w:sz w:val="24"/>
          <w:szCs w:val="24"/>
          <w:lang w:val="pt-BR"/>
        </w:rPr>
        <w:t xml:space="preserve">, com natural possibilidade de inclusão de valores adicionais de multas referentes </w:t>
      </w:r>
      <w:r w:rsidRPr="6AFB895A" w:rsidR="00C77231">
        <w:rPr>
          <w:sz w:val="24"/>
          <w:szCs w:val="24"/>
          <w:lang w:val="pt-BR"/>
        </w:rPr>
        <w:t xml:space="preserve">a processos administrativos transitados em julgado ou </w:t>
      </w:r>
      <w:commentRangeStart w:id="821060042"/>
      <w:r w:rsidRPr="6AFB895A" w:rsidR="00C77231">
        <w:rPr>
          <w:sz w:val="24"/>
          <w:szCs w:val="24"/>
          <w:lang w:val="pt-BR"/>
        </w:rPr>
        <w:t xml:space="preserve">em razão dos efeitos da inflação. </w:t>
      </w:r>
      <w:commentRangeEnd w:id="821060042"/>
      <w:r>
        <w:rPr>
          <w:rStyle w:val="CommentReference"/>
        </w:rPr>
        <w:commentReference w:id="821060042"/>
      </w:r>
    </w:p>
    <w:p w:rsidR="008A75E4" w:rsidP="00F04980" w:rsidRDefault="00003817" w14:paraId="051D7D1C" w14:textId="38F7A875">
      <w:pPr>
        <w:pStyle w:val="ListParagraph"/>
        <w:numPr>
          <w:ilvl w:val="0"/>
          <w:numId w:val="5"/>
        </w:numPr>
        <w:spacing w:before="0" w:after="240" w:line="360" w:lineRule="auto"/>
        <w:ind w:left="0" w:firstLine="0"/>
        <w:jc w:val="both"/>
        <w:rPr>
          <w:sz w:val="24"/>
          <w:szCs w:val="24"/>
          <w:lang w:val="pt-BR"/>
        </w:rPr>
      </w:pPr>
      <w:r w:rsidRPr="6AFB895A" w:rsidR="00003817">
        <w:rPr>
          <w:sz w:val="24"/>
          <w:szCs w:val="24"/>
          <w:lang w:val="pt-BR"/>
        </w:rPr>
        <w:t>C</w:t>
      </w:r>
      <w:r w:rsidRPr="6AFB895A" w:rsidR="00677752">
        <w:rPr>
          <w:sz w:val="24"/>
          <w:szCs w:val="24"/>
          <w:lang w:val="pt-BR"/>
        </w:rPr>
        <w:t>ristalina</w:t>
      </w:r>
      <w:r w:rsidRPr="6AFB895A" w:rsidR="006E0B93">
        <w:rPr>
          <w:sz w:val="24"/>
          <w:szCs w:val="24"/>
          <w:lang w:val="pt-BR"/>
        </w:rPr>
        <w:t>s</w:t>
      </w:r>
      <w:r w:rsidRPr="6AFB895A" w:rsidR="00677752">
        <w:rPr>
          <w:sz w:val="24"/>
          <w:szCs w:val="24"/>
          <w:lang w:val="pt-BR"/>
        </w:rPr>
        <w:t xml:space="preserve">, portanto, as conclusões do </w:t>
      </w:r>
      <w:r w:rsidRPr="6AFB895A" w:rsidR="00AF7D8E">
        <w:rPr>
          <w:sz w:val="24"/>
          <w:szCs w:val="24"/>
          <w:lang w:val="pt-BR"/>
        </w:rPr>
        <w:t xml:space="preserve">Relatório Final da Comissão Processante </w:t>
      </w:r>
      <w:r w:rsidRPr="6AFB895A" w:rsidR="00AF7D8E">
        <w:rPr>
          <w:color w:val="000000" w:themeColor="text1" w:themeTint="FF" w:themeShade="FF"/>
          <w:sz w:val="24"/>
          <w:szCs w:val="24"/>
          <w:lang w:val="pt-BR"/>
        </w:rPr>
        <w:t>(doc. R1-27)</w:t>
      </w:r>
      <w:r w:rsidRPr="6AFB895A" w:rsidR="00AF7D8E">
        <w:rPr>
          <w:color w:val="000000" w:themeColor="text1" w:themeTint="FF" w:themeShade="FF"/>
          <w:sz w:val="24"/>
          <w:szCs w:val="24"/>
          <w:lang w:val="pt-BR"/>
        </w:rPr>
        <w:t xml:space="preserve"> que, ao contrário do que tenta fazer crer a Requerente, não fossiliza a atuação da Entidade Reguladora na apuração dos valores de multas e infrações constatados durante a execução do Contrato de Concessão firmado entre as Partes.</w:t>
      </w:r>
    </w:p>
    <w:p w:rsidR="00AF7D8E" w:rsidP="00AF7D8E" w:rsidRDefault="00AF7D8E" w14:paraId="4DFEB5E8" w14:textId="3F957287">
      <w:pPr>
        <w:pStyle w:val="ListParagraph"/>
        <w:spacing w:before="0" w:after="240" w:line="360" w:lineRule="auto"/>
        <w:ind w:left="0" w:firstLine="0"/>
        <w:jc w:val="both"/>
        <w:rPr>
          <w:sz w:val="24"/>
          <w:szCs w:val="24"/>
          <w:lang w:val="pt-BR"/>
        </w:rPr>
      </w:pPr>
    </w:p>
    <w:p w:rsidRPr="004E5B1D" w:rsidR="00AF7D8E" w:rsidP="00AF7D8E" w:rsidRDefault="00AF7D8E" w14:paraId="13BEBCAF" w14:textId="738E71BC">
      <w:pPr>
        <w:shd w:val="clear" w:color="auto" w:fill="D9D9D9" w:themeFill="background1" w:themeFillShade="D9"/>
        <w:spacing w:after="240" w:line="360" w:lineRule="auto"/>
        <w:jc w:val="center"/>
        <w:rPr>
          <w:b/>
          <w:sz w:val="24"/>
          <w:szCs w:val="24"/>
          <w:lang w:val="pt-BR"/>
        </w:rPr>
      </w:pPr>
      <w:r>
        <w:rPr>
          <w:b/>
          <w:sz w:val="24"/>
          <w:szCs w:val="24"/>
          <w:lang w:val="pt-BR"/>
        </w:rPr>
        <w:t>REGULARIDADE DAS PENALIDADES</w:t>
      </w:r>
      <w:r w:rsidR="00E71979">
        <w:rPr>
          <w:b/>
          <w:sz w:val="24"/>
          <w:szCs w:val="24"/>
          <w:lang w:val="pt-BR"/>
        </w:rPr>
        <w:t xml:space="preserve"> DE MULTAS</w:t>
      </w:r>
      <w:r>
        <w:rPr>
          <w:b/>
          <w:sz w:val="24"/>
          <w:szCs w:val="24"/>
          <w:lang w:val="pt-BR"/>
        </w:rPr>
        <w:t xml:space="preserve"> APLICADAS</w:t>
      </w:r>
    </w:p>
    <w:p w:rsidRPr="004E5B1D" w:rsidR="005A64B0" w:rsidP="005A64B0" w:rsidRDefault="00124E34" w14:paraId="7B8DA403" w14:textId="775BF053">
      <w:pPr>
        <w:pStyle w:val="ListParagraph"/>
        <w:numPr>
          <w:ilvl w:val="0"/>
          <w:numId w:val="5"/>
        </w:numPr>
        <w:spacing w:before="0" w:after="240" w:line="360" w:lineRule="auto"/>
        <w:ind w:left="0" w:firstLine="0"/>
        <w:jc w:val="both"/>
        <w:rPr>
          <w:sz w:val="24"/>
          <w:szCs w:val="24"/>
          <w:lang w:val="pt-BR"/>
        </w:rPr>
      </w:pPr>
      <w:r w:rsidRPr="6AFB895A" w:rsidR="00124E34">
        <w:rPr>
          <w:sz w:val="24"/>
          <w:szCs w:val="24"/>
          <w:lang w:val="pt-BR"/>
        </w:rPr>
        <w:t>Afora o conte</w:t>
      </w:r>
      <w:r w:rsidRPr="6AFB895A" w:rsidR="00407377">
        <w:rPr>
          <w:sz w:val="24"/>
          <w:szCs w:val="24"/>
          <w:lang w:val="pt-BR"/>
        </w:rPr>
        <w:t xml:space="preserve">xto apresentado acima, é importante aprofundar na questão relativa </w:t>
      </w:r>
      <w:r w:rsidRPr="6AFB895A" w:rsidR="00AF7D8E">
        <w:rPr>
          <w:sz w:val="24"/>
          <w:szCs w:val="24"/>
          <w:lang w:val="pt-BR"/>
        </w:rPr>
        <w:t>à</w:t>
      </w:r>
      <w:r w:rsidRPr="6AFB895A" w:rsidR="00407377">
        <w:rPr>
          <w:sz w:val="24"/>
          <w:szCs w:val="24"/>
          <w:lang w:val="pt-BR"/>
        </w:rPr>
        <w:t xml:space="preserve"> </w:t>
      </w:r>
      <w:r w:rsidRPr="6AFB895A" w:rsidR="00AF7D8E">
        <w:rPr>
          <w:sz w:val="24"/>
          <w:szCs w:val="24"/>
          <w:lang w:val="pt-BR"/>
        </w:rPr>
        <w:t>confusão</w:t>
      </w:r>
      <w:r w:rsidRPr="6AFB895A" w:rsidR="00407377">
        <w:rPr>
          <w:sz w:val="24"/>
          <w:szCs w:val="24"/>
          <w:lang w:val="pt-BR"/>
        </w:rPr>
        <w:t xml:space="preserve"> </w:t>
      </w:r>
      <w:r w:rsidRPr="6AFB895A" w:rsidR="00AF7D8E">
        <w:rPr>
          <w:sz w:val="24"/>
          <w:szCs w:val="24"/>
          <w:lang w:val="pt-BR"/>
        </w:rPr>
        <w:t>jurídico-</w:t>
      </w:r>
      <w:r w:rsidRPr="6AFB895A" w:rsidR="00407377">
        <w:rPr>
          <w:sz w:val="24"/>
          <w:szCs w:val="24"/>
          <w:lang w:val="pt-BR"/>
        </w:rPr>
        <w:t xml:space="preserve">temporal </w:t>
      </w:r>
      <w:r w:rsidRPr="6AFB895A" w:rsidR="00AF7D8E">
        <w:rPr>
          <w:sz w:val="24"/>
          <w:szCs w:val="24"/>
          <w:lang w:val="pt-BR"/>
        </w:rPr>
        <w:t>da construção sustentada pela</w:t>
      </w:r>
      <w:r w:rsidRPr="6AFB895A" w:rsidR="005A64B0">
        <w:rPr>
          <w:sz w:val="24"/>
          <w:szCs w:val="24"/>
          <w:lang w:val="pt-BR"/>
        </w:rPr>
        <w:t xml:space="preserve"> </w:t>
      </w:r>
      <w:r w:rsidRPr="6AFB895A" w:rsidR="00AF7D8E">
        <w:rPr>
          <w:sz w:val="24"/>
          <w:szCs w:val="24"/>
          <w:lang w:val="pt-BR"/>
        </w:rPr>
        <w:t xml:space="preserve">Requerente de </w:t>
      </w:r>
      <w:r w:rsidRPr="6AFB895A" w:rsidR="0023515D">
        <w:rPr>
          <w:sz w:val="24"/>
          <w:szCs w:val="24"/>
          <w:lang w:val="pt-BR"/>
        </w:rPr>
        <w:t>que “</w:t>
      </w:r>
      <w:r w:rsidRPr="6AFB895A" w:rsidR="0023515D">
        <w:rPr>
          <w:i w:val="1"/>
          <w:iCs w:val="1"/>
          <w:sz w:val="24"/>
          <w:szCs w:val="24"/>
          <w:lang w:val="pt-BR"/>
        </w:rPr>
        <w:t>não é possível a aplicação da penalidade de multa posteriormente à extinção contratual determinada por caducidade</w:t>
      </w:r>
      <w:r w:rsidRPr="6AFB895A" w:rsidR="0023515D">
        <w:rPr>
          <w:sz w:val="24"/>
          <w:szCs w:val="24"/>
          <w:lang w:val="pt-BR"/>
        </w:rPr>
        <w:t xml:space="preserve">”. </w:t>
      </w:r>
    </w:p>
    <w:p w:rsidR="0023515D" w:rsidP="005A64B0" w:rsidRDefault="0023515D" w14:paraId="79DC0EBD" w14:textId="3B1B41EE">
      <w:pPr>
        <w:pStyle w:val="ListParagraph"/>
        <w:numPr>
          <w:ilvl w:val="0"/>
          <w:numId w:val="5"/>
        </w:numPr>
        <w:spacing w:before="0" w:after="240" w:line="360" w:lineRule="auto"/>
        <w:ind w:left="0" w:firstLine="0"/>
        <w:jc w:val="both"/>
        <w:rPr>
          <w:sz w:val="24"/>
          <w:szCs w:val="24"/>
          <w:lang w:val="pt-BR"/>
        </w:rPr>
      </w:pPr>
      <w:r w:rsidRPr="6AFB895A" w:rsidR="0023515D">
        <w:rPr>
          <w:sz w:val="24"/>
          <w:szCs w:val="24"/>
          <w:lang w:val="pt-BR"/>
        </w:rPr>
        <w:t xml:space="preserve">Além de </w:t>
      </w:r>
      <w:r w:rsidRPr="6AFB895A" w:rsidR="004042E6">
        <w:rPr>
          <w:sz w:val="24"/>
          <w:szCs w:val="24"/>
          <w:lang w:val="pt-BR"/>
        </w:rPr>
        <w:t>respaldar</w:t>
      </w:r>
      <w:r w:rsidRPr="6AFB895A" w:rsidR="0023515D">
        <w:rPr>
          <w:sz w:val="24"/>
          <w:szCs w:val="24"/>
          <w:lang w:val="pt-BR"/>
        </w:rPr>
        <w:t xml:space="preserve"> esse entendimento em uma leitura equivocada do disposto no </w:t>
      </w:r>
      <w:r w:rsidRPr="6AFB895A" w:rsidR="00B801C1">
        <w:rPr>
          <w:sz w:val="24"/>
          <w:szCs w:val="24"/>
          <w:lang w:val="pt-BR"/>
        </w:rPr>
        <w:t>§</w:t>
      </w:r>
      <w:r w:rsidRPr="6AFB895A" w:rsidR="00AF7D8E">
        <w:rPr>
          <w:sz w:val="24"/>
          <w:szCs w:val="24"/>
          <w:lang w:val="pt-BR"/>
        </w:rPr>
        <w:t xml:space="preserve"> </w:t>
      </w:r>
      <w:r w:rsidRPr="6AFB895A" w:rsidR="00B801C1">
        <w:rPr>
          <w:sz w:val="24"/>
          <w:szCs w:val="24"/>
          <w:lang w:val="pt-BR"/>
        </w:rPr>
        <w:t>197 do Relatório</w:t>
      </w:r>
      <w:r w:rsidRPr="6AFB895A" w:rsidR="004042E6">
        <w:rPr>
          <w:sz w:val="24"/>
          <w:szCs w:val="24"/>
          <w:lang w:val="pt-BR"/>
        </w:rPr>
        <w:t xml:space="preserve"> Final da Comissão Processante</w:t>
      </w:r>
      <w:r w:rsidRPr="6AFB895A" w:rsidR="00AF7D8E">
        <w:rPr>
          <w:sz w:val="24"/>
          <w:szCs w:val="24"/>
          <w:lang w:val="pt-BR"/>
        </w:rPr>
        <w:t xml:space="preserve"> </w:t>
      </w:r>
      <w:r w:rsidRPr="6AFB895A" w:rsidR="00AF7D8E">
        <w:rPr>
          <w:color w:val="000000" w:themeColor="text1" w:themeTint="FF" w:themeShade="FF"/>
          <w:sz w:val="24"/>
          <w:szCs w:val="24"/>
          <w:lang w:val="pt-BR"/>
        </w:rPr>
        <w:t>(doc. R1-27)</w:t>
      </w:r>
      <w:r w:rsidRPr="6AFB895A" w:rsidR="002452F0">
        <w:rPr>
          <w:sz w:val="24"/>
          <w:szCs w:val="24"/>
          <w:lang w:val="pt-BR"/>
        </w:rPr>
        <w:t>,</w:t>
      </w:r>
      <w:r w:rsidRPr="6AFB895A" w:rsidR="00AF7D8E">
        <w:rPr>
          <w:sz w:val="24"/>
          <w:szCs w:val="24"/>
          <w:lang w:val="pt-BR"/>
        </w:rPr>
        <w:t xml:space="preserve"> conforme esclarecido alhures,</w:t>
      </w:r>
      <w:r w:rsidRPr="6AFB895A" w:rsidR="002452F0">
        <w:rPr>
          <w:sz w:val="24"/>
          <w:szCs w:val="24"/>
          <w:lang w:val="pt-BR"/>
        </w:rPr>
        <w:t xml:space="preserve"> a Requerente também o esteia a partir de sua interpretação</w:t>
      </w:r>
      <w:r w:rsidRPr="6AFB895A" w:rsidR="00AF7D8E">
        <w:rPr>
          <w:sz w:val="24"/>
          <w:szCs w:val="24"/>
          <w:lang w:val="pt-BR"/>
        </w:rPr>
        <w:t xml:space="preserve"> –</w:t>
      </w:r>
      <w:r w:rsidRPr="6AFB895A" w:rsidR="00E81ECD">
        <w:rPr>
          <w:sz w:val="24"/>
          <w:szCs w:val="24"/>
          <w:lang w:val="pt-BR"/>
        </w:rPr>
        <w:t xml:space="preserve"> </w:t>
      </w:r>
      <w:r w:rsidRPr="6AFB895A" w:rsidR="00E81ECD">
        <w:rPr>
          <w:i w:val="1"/>
          <w:iCs w:val="1"/>
          <w:sz w:val="24"/>
          <w:szCs w:val="24"/>
          <w:lang w:val="pt-BR"/>
        </w:rPr>
        <w:t>também</w:t>
      </w:r>
      <w:r w:rsidRPr="6AFB895A" w:rsidR="00AF7D8E">
        <w:rPr>
          <w:sz w:val="24"/>
          <w:szCs w:val="24"/>
          <w:lang w:val="pt-BR"/>
        </w:rPr>
        <w:t xml:space="preserve"> </w:t>
      </w:r>
      <w:r w:rsidRPr="6AFB895A" w:rsidR="00AF7D8E">
        <w:rPr>
          <w:i w:val="1"/>
          <w:iCs w:val="1"/>
          <w:sz w:val="24"/>
          <w:szCs w:val="24"/>
          <w:lang w:val="pt-BR"/>
        </w:rPr>
        <w:t>equivocada</w:t>
      </w:r>
      <w:r w:rsidRPr="6AFB895A" w:rsidR="00AF7D8E">
        <w:rPr>
          <w:sz w:val="24"/>
          <w:szCs w:val="24"/>
          <w:lang w:val="pt-BR"/>
        </w:rPr>
        <w:t xml:space="preserve"> -</w:t>
      </w:r>
      <w:r w:rsidRPr="6AFB895A" w:rsidR="002452F0">
        <w:rPr>
          <w:sz w:val="24"/>
          <w:szCs w:val="24"/>
          <w:lang w:val="pt-BR"/>
        </w:rPr>
        <w:t xml:space="preserve"> do art. 38, </w:t>
      </w:r>
      <w:r w:rsidRPr="6AFB895A" w:rsidR="002452F0">
        <w:rPr>
          <w:i w:val="1"/>
          <w:iCs w:val="1"/>
          <w:sz w:val="24"/>
          <w:szCs w:val="24"/>
          <w:lang w:val="pt-BR"/>
        </w:rPr>
        <w:t>caput</w:t>
      </w:r>
      <w:r w:rsidRPr="6AFB895A" w:rsidR="002452F0">
        <w:rPr>
          <w:sz w:val="24"/>
          <w:szCs w:val="24"/>
          <w:lang w:val="pt-BR"/>
        </w:rPr>
        <w:t>, da Lei n° 8.987</w:t>
      </w:r>
      <w:r w:rsidRPr="6AFB895A" w:rsidR="00AF7D8E">
        <w:rPr>
          <w:sz w:val="24"/>
          <w:szCs w:val="24"/>
          <w:lang w:val="pt-BR"/>
        </w:rPr>
        <w:t>/</w:t>
      </w:r>
      <w:r w:rsidRPr="6AFB895A" w:rsidR="002452F0">
        <w:rPr>
          <w:sz w:val="24"/>
          <w:szCs w:val="24"/>
          <w:lang w:val="pt-BR"/>
        </w:rPr>
        <w:t>1995</w:t>
      </w:r>
      <w:r w:rsidRPr="6AFB895A" w:rsidR="00CB324F">
        <w:rPr>
          <w:sz w:val="24"/>
          <w:szCs w:val="24"/>
          <w:lang w:val="pt-BR"/>
        </w:rPr>
        <w:t>, e no art.</w:t>
      </w:r>
      <w:r w:rsidRPr="6AFB895A" w:rsidR="0008487F">
        <w:rPr>
          <w:sz w:val="24"/>
          <w:szCs w:val="24"/>
          <w:lang w:val="pt-BR"/>
        </w:rPr>
        <w:t xml:space="preserve"> </w:t>
      </w:r>
      <w:r w:rsidRPr="6AFB895A" w:rsidR="00CB324F">
        <w:rPr>
          <w:sz w:val="24"/>
          <w:szCs w:val="24"/>
          <w:lang w:val="pt-BR"/>
        </w:rPr>
        <w:t>65</w:t>
      </w:r>
      <w:r w:rsidRPr="6AFB895A" w:rsidR="00AF7D8E">
        <w:rPr>
          <w:sz w:val="24"/>
          <w:szCs w:val="24"/>
          <w:lang w:val="pt-BR"/>
        </w:rPr>
        <w:t>,</w:t>
      </w:r>
      <w:r w:rsidRPr="6AFB895A" w:rsidR="00CB324F">
        <w:rPr>
          <w:sz w:val="24"/>
          <w:szCs w:val="24"/>
          <w:lang w:val="pt-BR"/>
        </w:rPr>
        <w:t xml:space="preserve"> da Resolução</w:t>
      </w:r>
      <w:r w:rsidRPr="6AFB895A" w:rsidR="00AF7D8E">
        <w:rPr>
          <w:sz w:val="24"/>
          <w:szCs w:val="24"/>
          <w:lang w:val="pt-BR"/>
        </w:rPr>
        <w:t xml:space="preserve"> ANTT</w:t>
      </w:r>
      <w:r w:rsidRPr="6AFB895A" w:rsidR="00CB324F">
        <w:rPr>
          <w:sz w:val="24"/>
          <w:szCs w:val="24"/>
          <w:lang w:val="pt-BR"/>
        </w:rPr>
        <w:t xml:space="preserve"> n° 5.083</w:t>
      </w:r>
      <w:r w:rsidRPr="6AFB895A" w:rsidR="00AF7D8E">
        <w:rPr>
          <w:sz w:val="24"/>
          <w:szCs w:val="24"/>
          <w:lang w:val="pt-BR"/>
        </w:rPr>
        <w:t>/2</w:t>
      </w:r>
      <w:r w:rsidRPr="6AFB895A" w:rsidR="00CB324F">
        <w:rPr>
          <w:sz w:val="24"/>
          <w:szCs w:val="24"/>
          <w:lang w:val="pt-BR"/>
        </w:rPr>
        <w:t>016.</w:t>
      </w:r>
    </w:p>
    <w:p w:rsidR="00557CA3" w:rsidP="005A64B0" w:rsidRDefault="00557CA3" w14:paraId="7E73AF9E" w14:textId="78B19C18">
      <w:pPr>
        <w:pStyle w:val="ListParagraph"/>
        <w:numPr>
          <w:ilvl w:val="0"/>
          <w:numId w:val="5"/>
        </w:numPr>
        <w:spacing w:before="0" w:after="240" w:line="360" w:lineRule="auto"/>
        <w:ind w:left="0" w:firstLine="0"/>
        <w:jc w:val="both"/>
        <w:rPr>
          <w:sz w:val="24"/>
          <w:szCs w:val="24"/>
          <w:lang w:val="pt-BR"/>
        </w:rPr>
      </w:pPr>
      <w:r w:rsidRPr="6AFB895A" w:rsidR="00557CA3">
        <w:rPr>
          <w:sz w:val="24"/>
          <w:szCs w:val="24"/>
          <w:lang w:val="pt-BR"/>
        </w:rPr>
        <w:t>Com relação ao art. 38 da Lei n° 8.987</w:t>
      </w:r>
      <w:r w:rsidRPr="6AFB895A" w:rsidR="00B15D30">
        <w:rPr>
          <w:sz w:val="24"/>
          <w:szCs w:val="24"/>
          <w:lang w:val="pt-BR"/>
        </w:rPr>
        <w:t>/1</w:t>
      </w:r>
      <w:r w:rsidRPr="6AFB895A" w:rsidR="00557CA3">
        <w:rPr>
          <w:sz w:val="24"/>
          <w:szCs w:val="24"/>
          <w:lang w:val="pt-BR"/>
        </w:rPr>
        <w:t>995,</w:t>
      </w:r>
      <w:r w:rsidRPr="6AFB895A" w:rsidR="1CF2E5E8">
        <w:rPr>
          <w:sz w:val="24"/>
          <w:szCs w:val="24"/>
          <w:lang w:val="pt-BR"/>
        </w:rPr>
        <w:t xml:space="preserve"> é imperioso constatar que a norma não prevê qualquer </w:t>
      </w:r>
      <w:r w:rsidRPr="6AFB895A" w:rsidR="00950BCA">
        <w:rPr>
          <w:sz w:val="24"/>
          <w:szCs w:val="24"/>
          <w:lang w:val="pt-BR"/>
        </w:rPr>
        <w:t xml:space="preserve">relação </w:t>
      </w:r>
      <w:r w:rsidRPr="6AFB895A" w:rsidR="0067124B">
        <w:rPr>
          <w:sz w:val="24"/>
          <w:szCs w:val="24"/>
          <w:lang w:val="pt-BR"/>
        </w:rPr>
        <w:t>de prejudicialidade</w:t>
      </w:r>
      <w:r w:rsidRPr="6AFB895A" w:rsidR="00B15D30">
        <w:rPr>
          <w:sz w:val="24"/>
          <w:szCs w:val="24"/>
          <w:lang w:val="pt-BR"/>
        </w:rPr>
        <w:t xml:space="preserve"> entre</w:t>
      </w:r>
      <w:r w:rsidRPr="6AFB895A" w:rsidR="0067124B">
        <w:rPr>
          <w:sz w:val="24"/>
          <w:szCs w:val="24"/>
          <w:lang w:val="pt-BR"/>
        </w:rPr>
        <w:t xml:space="preserve"> </w:t>
      </w:r>
      <w:r w:rsidRPr="6AFB895A" w:rsidR="00B15D30">
        <w:rPr>
          <w:sz w:val="24"/>
          <w:szCs w:val="24"/>
          <w:lang w:val="pt-BR"/>
        </w:rPr>
        <w:t>a apuração e aplicação de penalidades de multas</w:t>
      </w:r>
      <w:r w:rsidRPr="6AFB895A" w:rsidR="1B287AB9">
        <w:rPr>
          <w:sz w:val="24"/>
          <w:szCs w:val="24"/>
          <w:lang w:val="pt-BR"/>
        </w:rPr>
        <w:t xml:space="preserve"> relativas a fatos</w:t>
      </w:r>
      <w:r w:rsidRPr="6AFB895A" w:rsidR="00B15D30">
        <w:rPr>
          <w:sz w:val="24"/>
          <w:szCs w:val="24"/>
          <w:lang w:val="pt-BR"/>
        </w:rPr>
        <w:t xml:space="preserve"> anteriores e a declaração de</w:t>
      </w:r>
      <w:r w:rsidRPr="6AFB895A" w:rsidR="0067124B">
        <w:rPr>
          <w:sz w:val="24"/>
          <w:szCs w:val="24"/>
          <w:lang w:val="pt-BR"/>
        </w:rPr>
        <w:t xml:space="preserve"> caducidade</w:t>
      </w:r>
      <w:r w:rsidRPr="6AFB895A" w:rsidR="0067124B">
        <w:rPr>
          <w:sz w:val="24"/>
          <w:szCs w:val="24"/>
          <w:lang w:val="pt-BR"/>
        </w:rPr>
        <w:t xml:space="preserve">. </w:t>
      </w:r>
      <w:r w:rsidRPr="6AFB895A" w:rsidR="389BA061">
        <w:rPr>
          <w:sz w:val="24"/>
          <w:szCs w:val="24"/>
          <w:lang w:val="pt-BR"/>
        </w:rPr>
        <w:t>Da leitura do disciplinamento legal pode-se aferir que a</w:t>
      </w:r>
      <w:r w:rsidRPr="6AFB895A" w:rsidR="0067124B">
        <w:rPr>
          <w:sz w:val="24"/>
          <w:szCs w:val="24"/>
          <w:lang w:val="pt-BR"/>
        </w:rPr>
        <w:t xml:space="preserve"> única relação existente entre os dois institutos decorre da qualificação do inadimplemento de penalidade</w:t>
      </w:r>
      <w:r w:rsidRPr="6AFB895A" w:rsidR="57942C11">
        <w:rPr>
          <w:sz w:val="24"/>
          <w:szCs w:val="24"/>
          <w:lang w:val="pt-BR"/>
        </w:rPr>
        <w:t>s</w:t>
      </w:r>
      <w:r w:rsidRPr="6AFB895A" w:rsidR="0067124B">
        <w:rPr>
          <w:sz w:val="24"/>
          <w:szCs w:val="24"/>
          <w:lang w:val="pt-BR"/>
        </w:rPr>
        <w:t xml:space="preserve"> impostas por infrações, nos devidos prazos, como uma das hipóteses que autorizam a aplicação da caducidade. Trata-se</w:t>
      </w:r>
      <w:r w:rsidRPr="6AFB895A" w:rsidR="03898039">
        <w:rPr>
          <w:sz w:val="24"/>
          <w:szCs w:val="24"/>
          <w:lang w:val="pt-BR"/>
        </w:rPr>
        <w:t>, como se vê,</w:t>
      </w:r>
      <w:r w:rsidRPr="6AFB895A" w:rsidR="0067124B">
        <w:rPr>
          <w:sz w:val="24"/>
          <w:szCs w:val="24"/>
          <w:lang w:val="pt-BR"/>
        </w:rPr>
        <w:t xml:space="preserve"> de</w:t>
      </w:r>
      <w:r w:rsidRPr="6AFB895A" w:rsidR="77F90AB9">
        <w:rPr>
          <w:sz w:val="24"/>
          <w:szCs w:val="24"/>
          <w:lang w:val="pt-BR"/>
        </w:rPr>
        <w:t xml:space="preserve"> </w:t>
      </w:r>
      <w:r w:rsidRPr="6AFB895A" w:rsidR="0067124B">
        <w:rPr>
          <w:sz w:val="24"/>
          <w:szCs w:val="24"/>
          <w:lang w:val="pt-BR"/>
        </w:rPr>
        <w:t>relação causal entre o inadimplemento</w:t>
      </w:r>
      <w:r w:rsidRPr="6AFB895A" w:rsidR="4431D6BB">
        <w:rPr>
          <w:sz w:val="24"/>
          <w:szCs w:val="24"/>
          <w:lang w:val="pt-BR"/>
        </w:rPr>
        <w:t xml:space="preserve"> reiterado</w:t>
      </w:r>
      <w:r w:rsidRPr="6AFB895A" w:rsidR="001A63D1">
        <w:rPr>
          <w:sz w:val="24"/>
          <w:szCs w:val="24"/>
          <w:lang w:val="pt-BR"/>
        </w:rPr>
        <w:t xml:space="preserve"> e sistemático</w:t>
      </w:r>
      <w:r w:rsidRPr="6AFB895A" w:rsidR="4431D6BB">
        <w:rPr>
          <w:sz w:val="24"/>
          <w:szCs w:val="24"/>
          <w:lang w:val="pt-BR"/>
        </w:rPr>
        <w:t xml:space="preserve"> – que denota</w:t>
      </w:r>
      <w:r w:rsidRPr="6AFB895A" w:rsidR="001A63D1">
        <w:rPr>
          <w:sz w:val="24"/>
          <w:szCs w:val="24"/>
          <w:lang w:val="pt-BR"/>
        </w:rPr>
        <w:t xml:space="preserve"> inclusive</w:t>
      </w:r>
      <w:r w:rsidRPr="6AFB895A" w:rsidR="4431D6BB">
        <w:rPr>
          <w:sz w:val="24"/>
          <w:szCs w:val="24"/>
          <w:lang w:val="pt-BR"/>
        </w:rPr>
        <w:t xml:space="preserve"> o grau</w:t>
      </w:r>
      <w:r w:rsidRPr="6AFB895A" w:rsidR="0067124B">
        <w:rPr>
          <w:sz w:val="24"/>
          <w:szCs w:val="24"/>
          <w:lang w:val="pt-BR"/>
        </w:rPr>
        <w:t xml:space="preserve"> </w:t>
      </w:r>
      <w:r w:rsidRPr="6AFB895A" w:rsidR="001A63D1">
        <w:rPr>
          <w:sz w:val="24"/>
          <w:szCs w:val="24"/>
          <w:lang w:val="pt-BR"/>
        </w:rPr>
        <w:t>de ineficiência da concessionária - e</w:t>
      </w:r>
      <w:r w:rsidRPr="6AFB895A" w:rsidR="0067124B">
        <w:rPr>
          <w:sz w:val="24"/>
          <w:szCs w:val="24"/>
          <w:lang w:val="pt-BR"/>
        </w:rPr>
        <w:t xml:space="preserve"> a caducidade</w:t>
      </w:r>
      <w:r w:rsidRPr="6AFB895A" w:rsidR="001A63D1">
        <w:rPr>
          <w:sz w:val="24"/>
          <w:szCs w:val="24"/>
          <w:lang w:val="pt-BR"/>
        </w:rPr>
        <w:t xml:space="preserve"> – enquanto resultado desse quadro de descumprimento</w:t>
      </w:r>
      <w:r w:rsidRPr="6AFB895A" w:rsidR="0067124B">
        <w:rPr>
          <w:sz w:val="24"/>
          <w:szCs w:val="24"/>
          <w:lang w:val="pt-BR"/>
        </w:rPr>
        <w:t xml:space="preserve">, inexistindo qualquer determinação ou premissa que </w:t>
      </w:r>
      <w:r w:rsidRPr="6AFB895A" w:rsidR="001A63D1">
        <w:rPr>
          <w:sz w:val="24"/>
          <w:szCs w:val="24"/>
          <w:lang w:val="pt-BR"/>
        </w:rPr>
        <w:t>possa</w:t>
      </w:r>
      <w:r w:rsidRPr="6AFB895A" w:rsidR="0067124B">
        <w:rPr>
          <w:sz w:val="24"/>
          <w:szCs w:val="24"/>
          <w:lang w:val="pt-BR"/>
        </w:rPr>
        <w:t xml:space="preserve"> levar à conclusão de que a aplicação da caducidade </w:t>
      </w:r>
      <w:r w:rsidRPr="6AFB895A" w:rsidR="0008487F">
        <w:rPr>
          <w:sz w:val="24"/>
          <w:szCs w:val="24"/>
          <w:lang w:val="pt-BR"/>
        </w:rPr>
        <w:t xml:space="preserve">inviabiliza </w:t>
      </w:r>
      <w:r w:rsidRPr="6AFB895A" w:rsidR="00B15D30">
        <w:rPr>
          <w:sz w:val="24"/>
          <w:szCs w:val="24"/>
          <w:lang w:val="pt-BR"/>
        </w:rPr>
        <w:t>a execução dos valores</w:t>
      </w:r>
      <w:r w:rsidRPr="6AFB895A" w:rsidR="0008487F">
        <w:rPr>
          <w:sz w:val="24"/>
          <w:szCs w:val="24"/>
          <w:lang w:val="pt-BR"/>
        </w:rPr>
        <w:t xml:space="preserve"> </w:t>
      </w:r>
      <w:r w:rsidRPr="6AFB895A" w:rsidR="00AB5E23">
        <w:rPr>
          <w:sz w:val="24"/>
          <w:szCs w:val="24"/>
          <w:lang w:val="pt-BR"/>
        </w:rPr>
        <w:t>aplicados decorrentes dos descumprimentos anteriormente atestados.</w:t>
      </w:r>
    </w:p>
    <w:p w:rsidRPr="00262634" w:rsidR="00262634" w:rsidP="00262634" w:rsidRDefault="00262634" w14:paraId="10A5ECB5" w14:textId="496A3629">
      <w:pPr>
        <w:pStyle w:val="ListParagraph"/>
        <w:numPr>
          <w:ilvl w:val="0"/>
          <w:numId w:val="5"/>
        </w:numPr>
        <w:spacing w:before="0" w:after="240" w:line="360" w:lineRule="auto"/>
        <w:ind w:left="0" w:firstLine="0"/>
        <w:jc w:val="both"/>
        <w:rPr>
          <w:sz w:val="24"/>
          <w:szCs w:val="24"/>
          <w:lang w:val="pt-BR"/>
        </w:rPr>
      </w:pPr>
      <w:r w:rsidRPr="6AFB895A" w:rsidR="00262634">
        <w:rPr>
          <w:sz w:val="24"/>
          <w:szCs w:val="24"/>
          <w:lang w:val="pt-BR"/>
        </w:rPr>
        <w:t xml:space="preserve">A declaração de caducidade do contrato de concessão insere-se no âmbito da discricionariedade do </w:t>
      </w:r>
      <w:r w:rsidRPr="6AFB895A" w:rsidR="00262634">
        <w:rPr>
          <w:sz w:val="24"/>
          <w:szCs w:val="24"/>
          <w:lang w:val="pt-BR"/>
        </w:rPr>
        <w:t>P</w:t>
      </w:r>
      <w:r w:rsidRPr="6AFB895A" w:rsidR="00262634">
        <w:rPr>
          <w:sz w:val="24"/>
          <w:szCs w:val="24"/>
          <w:lang w:val="pt-BR"/>
        </w:rPr>
        <w:t xml:space="preserve">oder </w:t>
      </w:r>
      <w:r w:rsidRPr="6AFB895A" w:rsidR="00262634">
        <w:rPr>
          <w:sz w:val="24"/>
          <w:szCs w:val="24"/>
          <w:lang w:val="pt-BR"/>
        </w:rPr>
        <w:t>C</w:t>
      </w:r>
      <w:r w:rsidRPr="6AFB895A" w:rsidR="00262634">
        <w:rPr>
          <w:sz w:val="24"/>
          <w:szCs w:val="24"/>
          <w:lang w:val="pt-BR"/>
        </w:rPr>
        <w:t>oncedente, o que revela sua clara vinculação ao dever de proteção do interesse público</w:t>
      </w:r>
      <w:r w:rsidRPr="6AFB895A" w:rsidR="00262634">
        <w:rPr>
          <w:sz w:val="24"/>
          <w:szCs w:val="24"/>
          <w:lang w:val="pt-BR"/>
        </w:rPr>
        <w:t>. Ou</w:t>
      </w:r>
      <w:r w:rsidRPr="6AFB895A" w:rsidR="00262634">
        <w:rPr>
          <w:sz w:val="24"/>
          <w:szCs w:val="24"/>
          <w:lang w:val="pt-BR"/>
        </w:rPr>
        <w:t xml:space="preserve"> seja, mesmo que haja descumprimento contratual, caberá ao Poder Público, à luz das circunstâncias concretas e das alternativas disponíveis, declarar ou não a caducidade do contrato. Sendo decisão discricionária, não pode ser considerada sanção, cuja aplicação, quando cabível, constitui ato vinculado, de observância obrigatória.</w:t>
      </w:r>
    </w:p>
    <w:p w:rsidRPr="00262634" w:rsidR="00262634" w:rsidP="00262634" w:rsidRDefault="00262634" w14:paraId="03388503" w14:textId="52C4260F">
      <w:pPr>
        <w:pStyle w:val="ListParagraph"/>
        <w:numPr>
          <w:ilvl w:val="0"/>
          <w:numId w:val="5"/>
        </w:numPr>
        <w:spacing w:before="0" w:after="240" w:line="360" w:lineRule="auto"/>
        <w:ind w:left="0" w:firstLine="0"/>
        <w:jc w:val="both"/>
        <w:rPr>
          <w:sz w:val="24"/>
          <w:szCs w:val="24"/>
          <w:lang w:val="pt-BR"/>
        </w:rPr>
      </w:pPr>
      <w:r w:rsidRPr="6AFB895A" w:rsidR="00262634">
        <w:rPr>
          <w:sz w:val="24"/>
          <w:szCs w:val="24"/>
          <w:lang w:val="pt-BR"/>
        </w:rPr>
        <w:t>Nessa medida, a</w:t>
      </w:r>
      <w:r w:rsidRPr="6AFB895A" w:rsidR="00262634">
        <w:rPr>
          <w:sz w:val="24"/>
          <w:szCs w:val="24"/>
          <w:lang w:val="pt-BR"/>
        </w:rPr>
        <w:t xml:space="preserve"> decisão pela caducidade de um contrato de concessão nada tem de intenção punitiva em sua essência, até por ser medida prejudicial a todas as partes envolvidas. A decisão pela caducidade parte sempre de uma ponderação (de natureza política) acerca da melhor forma de proteger o interesse público: se com a manutenção do contrato, mesmo diante do inadimplemento da concessionária, ou se com a sua extinção e consequente assunção do serviço pelo poder concedente ou busca de um novo parceiro privado. A caducidade é, portanto, um direito potestativo de titularidade pública que permite a rescisão unilateral de um contrato em razão do descumprimento das obrigações pela concessionária.</w:t>
      </w:r>
    </w:p>
    <w:p w:rsidRPr="004E5B1D" w:rsidR="00262634" w:rsidP="00262634" w:rsidRDefault="00262634" w14:paraId="50BE43B9" w14:textId="5B75EA9A">
      <w:pPr>
        <w:pStyle w:val="ListParagraph"/>
        <w:numPr>
          <w:ilvl w:val="0"/>
          <w:numId w:val="5"/>
        </w:numPr>
        <w:spacing w:before="0" w:after="240" w:line="360" w:lineRule="auto"/>
        <w:ind w:left="0" w:firstLine="0"/>
        <w:jc w:val="both"/>
        <w:rPr>
          <w:sz w:val="24"/>
          <w:szCs w:val="24"/>
          <w:lang w:val="pt-BR"/>
        </w:rPr>
      </w:pPr>
      <w:r w:rsidRPr="6AFB895A" w:rsidR="00262634">
        <w:rPr>
          <w:sz w:val="24"/>
          <w:szCs w:val="24"/>
          <w:lang w:val="pt-BR"/>
        </w:rPr>
        <w:t xml:space="preserve">Nessa </w:t>
      </w:r>
      <w:r w:rsidRPr="6AFB895A" w:rsidR="6DC0E1C2">
        <w:rPr>
          <w:sz w:val="24"/>
          <w:szCs w:val="24"/>
          <w:lang w:val="pt-BR"/>
        </w:rPr>
        <w:t xml:space="preserve">linha, </w:t>
      </w:r>
      <w:r w:rsidRPr="6AFB895A" w:rsidR="00262634">
        <w:rPr>
          <w:sz w:val="24"/>
          <w:szCs w:val="24"/>
          <w:lang w:val="pt-BR"/>
        </w:rPr>
        <w:t xml:space="preserve">o instituto da caducidade tem uma relação muito próxima com o instituto da resolução contratual, do Código Civil, pelo qual cabe sempre à parte lesada pelo inadimplemento a escolha entre pedir a resolução do contrato ou exigir-lhe o cumprimento (art. 475). A decisão de rescindir (ou declarar a caducidade) o contrato é sempre </w:t>
      </w:r>
      <w:proofErr w:type="gramStart"/>
      <w:r w:rsidRPr="6AFB895A" w:rsidR="00262634">
        <w:rPr>
          <w:sz w:val="24"/>
          <w:szCs w:val="24"/>
          <w:lang w:val="pt-BR"/>
        </w:rPr>
        <w:t>discricionária</w:t>
      </w:r>
      <w:proofErr w:type="gramEnd"/>
      <w:r w:rsidRPr="6AFB895A" w:rsidR="00262634">
        <w:rPr>
          <w:sz w:val="24"/>
          <w:szCs w:val="24"/>
          <w:lang w:val="pt-BR"/>
        </w:rPr>
        <w:t xml:space="preserve">, avaliada pela parte lesada à luz das outras alternativas disponíveis, dentre elas o interesse na continuidade contratual e a expectativa de reversão do inadimplemento. </w:t>
      </w:r>
      <w:r w:rsidRPr="6AFB895A" w:rsidR="00262634">
        <w:rPr>
          <w:sz w:val="24"/>
          <w:szCs w:val="24"/>
          <w:lang w:val="pt-BR"/>
        </w:rPr>
        <w:t>Em um contrato privado, quando uma das partes se torna inadimplente, a parte prejudicada pelo inadimplemento pode pedir a rescisão contratual, e nisso não estará buscando outra coisa que não a proteção de seu próprio interesse. Não há intuito punitivo, de castigar a parte contrária, mas simples preservação de interesse próprio.</w:t>
      </w:r>
    </w:p>
    <w:p w:rsidR="00752E17" w:rsidP="00873BA1" w:rsidRDefault="00262634" w14:paraId="32445499" w14:textId="2E4DFEE0">
      <w:pPr>
        <w:pStyle w:val="ListParagraph"/>
        <w:numPr>
          <w:ilvl w:val="0"/>
          <w:numId w:val="5"/>
        </w:numPr>
        <w:spacing w:before="0" w:after="240" w:line="360" w:lineRule="auto"/>
        <w:ind w:left="0" w:firstLine="0"/>
        <w:jc w:val="both"/>
        <w:rPr>
          <w:sz w:val="24"/>
          <w:szCs w:val="24"/>
          <w:lang w:val="pt-BR"/>
        </w:rPr>
      </w:pPr>
      <w:r w:rsidRPr="6AFB895A" w:rsidR="00262634">
        <w:rPr>
          <w:sz w:val="24"/>
          <w:szCs w:val="24"/>
          <w:lang w:val="pt-BR"/>
        </w:rPr>
        <w:t>Nesse ideário</w:t>
      </w:r>
      <w:r w:rsidRPr="6AFB895A" w:rsidR="00D80329">
        <w:rPr>
          <w:sz w:val="24"/>
          <w:szCs w:val="24"/>
          <w:lang w:val="pt-BR"/>
        </w:rPr>
        <w:t xml:space="preserve">, se equivoca novamente a Requerente ao alegar a </w:t>
      </w:r>
      <w:r w:rsidRPr="6AFB895A" w:rsidR="00752E17">
        <w:rPr>
          <w:sz w:val="24"/>
          <w:szCs w:val="24"/>
          <w:lang w:val="pt-BR"/>
        </w:rPr>
        <w:t xml:space="preserve">aventada </w:t>
      </w:r>
      <w:r w:rsidRPr="6AFB895A" w:rsidR="00D80329">
        <w:rPr>
          <w:sz w:val="24"/>
          <w:szCs w:val="24"/>
          <w:lang w:val="pt-BR"/>
        </w:rPr>
        <w:t xml:space="preserve">relação de prejudicialidade com base do </w:t>
      </w:r>
      <w:r w:rsidRPr="6AFB895A" w:rsidR="004F57CB">
        <w:rPr>
          <w:sz w:val="24"/>
          <w:szCs w:val="24"/>
          <w:lang w:val="pt-BR"/>
        </w:rPr>
        <w:t>art. 65 da Resolução</w:t>
      </w:r>
      <w:r w:rsidRPr="6AFB895A" w:rsidR="00D80329">
        <w:rPr>
          <w:sz w:val="24"/>
          <w:szCs w:val="24"/>
          <w:lang w:val="pt-BR"/>
        </w:rPr>
        <w:t xml:space="preserve"> ANTT</w:t>
      </w:r>
      <w:r w:rsidRPr="6AFB895A" w:rsidR="004F57CB">
        <w:rPr>
          <w:sz w:val="24"/>
          <w:szCs w:val="24"/>
          <w:lang w:val="pt-BR"/>
        </w:rPr>
        <w:t xml:space="preserve"> n° 5.083</w:t>
      </w:r>
      <w:r w:rsidRPr="6AFB895A" w:rsidR="00D80329">
        <w:rPr>
          <w:sz w:val="24"/>
          <w:szCs w:val="24"/>
          <w:lang w:val="pt-BR"/>
        </w:rPr>
        <w:t>/</w:t>
      </w:r>
      <w:r w:rsidRPr="6AFB895A" w:rsidR="004F57CB">
        <w:rPr>
          <w:sz w:val="24"/>
          <w:szCs w:val="24"/>
          <w:lang w:val="pt-BR"/>
        </w:rPr>
        <w:t xml:space="preserve">2016. </w:t>
      </w:r>
      <w:r w:rsidRPr="6AFB895A" w:rsidR="00D80329">
        <w:rPr>
          <w:sz w:val="24"/>
          <w:szCs w:val="24"/>
          <w:lang w:val="pt-BR"/>
        </w:rPr>
        <w:t xml:space="preserve">O dispositivo regulamentar </w:t>
      </w:r>
      <w:r w:rsidRPr="6AFB895A" w:rsidR="00262634">
        <w:rPr>
          <w:sz w:val="24"/>
          <w:szCs w:val="24"/>
          <w:lang w:val="pt-BR"/>
        </w:rPr>
        <w:t xml:space="preserve">– assentado na natureza discricionária da caducidade acima indicada - </w:t>
      </w:r>
      <w:r w:rsidRPr="6AFB895A" w:rsidR="00D80329">
        <w:rPr>
          <w:sz w:val="24"/>
          <w:szCs w:val="24"/>
          <w:lang w:val="pt-BR"/>
        </w:rPr>
        <w:t>é</w:t>
      </w:r>
      <w:r w:rsidRPr="6AFB895A" w:rsidR="00752E17">
        <w:rPr>
          <w:sz w:val="24"/>
          <w:szCs w:val="24"/>
          <w:lang w:val="pt-BR"/>
        </w:rPr>
        <w:t xml:space="preserve"> de</w:t>
      </w:r>
      <w:r w:rsidRPr="6AFB895A" w:rsidR="00D80329">
        <w:rPr>
          <w:sz w:val="24"/>
          <w:szCs w:val="24"/>
          <w:lang w:val="pt-BR"/>
        </w:rPr>
        <w:t xml:space="preserve"> </w:t>
      </w:r>
      <w:r w:rsidRPr="6AFB895A" w:rsidR="00752E17">
        <w:rPr>
          <w:sz w:val="24"/>
          <w:szCs w:val="24"/>
          <w:lang w:val="pt-BR"/>
        </w:rPr>
        <w:t xml:space="preserve">clareza solar </w:t>
      </w:r>
      <w:r w:rsidRPr="6AFB895A" w:rsidR="00D80329">
        <w:rPr>
          <w:sz w:val="24"/>
          <w:szCs w:val="24"/>
          <w:lang w:val="pt-BR"/>
        </w:rPr>
        <w:t xml:space="preserve">ao </w:t>
      </w:r>
      <w:r w:rsidRPr="6AFB895A" w:rsidR="004C6700">
        <w:rPr>
          <w:sz w:val="24"/>
          <w:szCs w:val="24"/>
          <w:lang w:val="pt-BR"/>
        </w:rPr>
        <w:t>facultar</w:t>
      </w:r>
      <w:r w:rsidRPr="6AFB895A" w:rsidR="00D80329">
        <w:rPr>
          <w:sz w:val="24"/>
          <w:szCs w:val="24"/>
          <w:lang w:val="pt-BR"/>
        </w:rPr>
        <w:t xml:space="preserve"> à </w:t>
      </w:r>
      <w:r w:rsidRPr="6AFB895A" w:rsidR="00752E17">
        <w:rPr>
          <w:sz w:val="24"/>
          <w:szCs w:val="24"/>
          <w:lang w:val="pt-BR"/>
        </w:rPr>
        <w:t>Diretoria Colegiada da ANTT a possibilidade de aplicar a pena de multa nos casos em que o contrato prevê a aplicação</w:t>
      </w:r>
      <w:r w:rsidR="00752E17">
        <w:rPr/>
        <w:t xml:space="preserve"> </w:t>
      </w:r>
      <w:r w:rsidRPr="6AFB895A" w:rsidR="00752E17">
        <w:rPr>
          <w:sz w:val="24"/>
          <w:szCs w:val="24"/>
          <w:lang w:val="pt-BR"/>
        </w:rPr>
        <w:t>da penalidade de suspensão, cassação, decretação de caducidade da outorga ou declaração de inidoneidade, desde que consideradas a natureza e a gravidade da infração, os danos dela resultantes para o serviço e para os usuários, a vantagem auferida pelo infrator, as circunstâncias agravantes e atenuantes, os antecedentes do infrator e a reincidência.</w:t>
      </w:r>
      <w:r w:rsidRPr="6AFB895A" w:rsidR="007C1EE1">
        <w:rPr>
          <w:sz w:val="24"/>
          <w:szCs w:val="24"/>
          <w:lang w:val="pt-BR"/>
        </w:rPr>
        <w:t xml:space="preserve"> </w:t>
      </w:r>
      <w:r w:rsidRPr="6AFB895A" w:rsidR="004C6700">
        <w:rPr>
          <w:b w:val="1"/>
          <w:bCs w:val="1"/>
          <w:sz w:val="24"/>
          <w:szCs w:val="24"/>
          <w:lang w:val="pt-BR"/>
        </w:rPr>
        <w:t xml:space="preserve">Novamente, </w:t>
      </w:r>
      <w:r w:rsidRPr="6AFB895A" w:rsidR="00752E17">
        <w:rPr>
          <w:b w:val="1"/>
          <w:bCs w:val="1"/>
          <w:sz w:val="24"/>
          <w:szCs w:val="24"/>
          <w:lang w:val="pt-BR"/>
        </w:rPr>
        <w:t>ao contrário da hipótese de prejudicialidade idealizada pela Requerente, a norma regulamentar permite a substituição justificada da caducidade pela aplicação de multa, e não o contrário</w:t>
      </w:r>
      <w:r w:rsidRPr="6AFB895A" w:rsidR="00752E17">
        <w:rPr>
          <w:sz w:val="24"/>
          <w:szCs w:val="24"/>
          <w:lang w:val="pt-BR"/>
        </w:rPr>
        <w:t>.</w:t>
      </w:r>
      <w:r w:rsidRPr="6AFB895A" w:rsidR="00752E17">
        <w:rPr>
          <w:sz w:val="24"/>
          <w:szCs w:val="24"/>
          <w:lang w:val="pt-BR"/>
        </w:rPr>
        <w:t xml:space="preserve"> </w:t>
      </w:r>
    </w:p>
    <w:p w:rsidRPr="0000715F" w:rsidR="00A82705" w:rsidP="0000715F" w:rsidRDefault="00A82705" w14:paraId="2FECD89D" w14:textId="73491E77">
      <w:pPr>
        <w:pStyle w:val="ListParagraph"/>
        <w:numPr>
          <w:ilvl w:val="0"/>
          <w:numId w:val="5"/>
        </w:numPr>
        <w:spacing w:before="0" w:after="240" w:line="360" w:lineRule="auto"/>
        <w:ind w:left="0" w:firstLine="0"/>
        <w:jc w:val="both"/>
        <w:rPr>
          <w:sz w:val="24"/>
          <w:szCs w:val="24"/>
          <w:lang w:val="pt-BR"/>
        </w:rPr>
      </w:pPr>
      <w:r w:rsidRPr="6AFB895A" w:rsidR="00A82705">
        <w:rPr>
          <w:sz w:val="24"/>
          <w:szCs w:val="24"/>
          <w:lang w:val="pt-BR"/>
        </w:rPr>
        <w:t xml:space="preserve">Frise-se, </w:t>
      </w:r>
      <w:r w:rsidRPr="6AFB895A" w:rsidR="00262634">
        <w:rPr>
          <w:sz w:val="24"/>
          <w:szCs w:val="24"/>
          <w:lang w:val="pt-BR"/>
        </w:rPr>
        <w:t>doutro modo</w:t>
      </w:r>
      <w:r w:rsidRPr="6AFB895A" w:rsidR="00A82705">
        <w:rPr>
          <w:sz w:val="24"/>
          <w:szCs w:val="24"/>
          <w:lang w:val="pt-BR"/>
        </w:rPr>
        <w:t>, que</w:t>
      </w:r>
      <w:r w:rsidRPr="6AFB895A" w:rsidR="00262634">
        <w:rPr>
          <w:sz w:val="24"/>
          <w:szCs w:val="24"/>
          <w:lang w:val="pt-BR"/>
        </w:rPr>
        <w:t xml:space="preserve"> no que concerne às penalidades de multa anteriores decorrentes de</w:t>
      </w:r>
      <w:r w:rsidRPr="6AFB895A" w:rsidR="2DEAF15F">
        <w:rPr>
          <w:sz w:val="24"/>
          <w:szCs w:val="24"/>
          <w:lang w:val="pt-BR"/>
        </w:rPr>
        <w:t xml:space="preserve"> </w:t>
      </w:r>
      <w:r w:rsidRPr="6AFB895A" w:rsidR="00262634">
        <w:rPr>
          <w:sz w:val="24"/>
          <w:szCs w:val="24"/>
          <w:lang w:val="pt-BR"/>
        </w:rPr>
        <w:t>descumprimentos da concessionária previamente previstos nas cláusulas contratuais e/ou nas normas regulamentares, não há</w:t>
      </w:r>
      <w:r w:rsidRPr="6AFB895A" w:rsidR="00A82705">
        <w:rPr>
          <w:sz w:val="24"/>
          <w:szCs w:val="24"/>
          <w:lang w:val="pt-BR"/>
        </w:rPr>
        <w:t xml:space="preserve"> qualquer faculdade de disposição pelo Poder Público acerca </w:t>
      </w:r>
      <w:r w:rsidRPr="6AFB895A" w:rsidR="00262634">
        <w:rPr>
          <w:sz w:val="24"/>
          <w:szCs w:val="24"/>
          <w:lang w:val="pt-BR"/>
        </w:rPr>
        <w:t>de sua</w:t>
      </w:r>
      <w:r w:rsidRPr="6AFB895A" w:rsidR="00A82705">
        <w:rPr>
          <w:sz w:val="24"/>
          <w:szCs w:val="24"/>
          <w:lang w:val="pt-BR"/>
        </w:rPr>
        <w:t xml:space="preserve"> apuração e quantificação, tratando-se, portanto, de ato indisponível e vinculado. </w:t>
      </w:r>
      <w:r w:rsidRPr="6AFB895A" w:rsidR="00A82705">
        <w:rPr>
          <w:sz w:val="24"/>
          <w:szCs w:val="24"/>
          <w:lang w:val="pt-BR"/>
        </w:rPr>
        <w:t xml:space="preserve">O que a declaração de caducidade da concessão limita, por óbvio, é a apuração de fatos novos, uma vez que a partir de tal marco deixou de existir uma relação jurídica contratual entre as partes. </w:t>
      </w:r>
    </w:p>
    <w:p w:rsidRPr="004E5B1D" w:rsidR="00A61801" w:rsidP="005A64B0" w:rsidRDefault="00113191" w14:paraId="2C13A6AA" w14:textId="123C153C">
      <w:pPr>
        <w:pStyle w:val="ListParagraph"/>
        <w:numPr>
          <w:ilvl w:val="0"/>
          <w:numId w:val="5"/>
        </w:numPr>
        <w:spacing w:before="0" w:after="240" w:line="360" w:lineRule="auto"/>
        <w:ind w:left="0" w:firstLine="0"/>
        <w:jc w:val="both"/>
        <w:rPr>
          <w:sz w:val="24"/>
          <w:szCs w:val="24"/>
          <w:lang w:val="pt-BR"/>
        </w:rPr>
      </w:pPr>
      <w:r w:rsidRPr="6AFB895A" w:rsidR="00113191">
        <w:rPr>
          <w:sz w:val="24"/>
          <w:szCs w:val="24"/>
          <w:lang w:val="pt-BR"/>
        </w:rPr>
        <w:t xml:space="preserve">À vista disso, </w:t>
      </w:r>
      <w:r w:rsidRPr="6AFB895A" w:rsidR="0000715F">
        <w:rPr>
          <w:b w:val="1"/>
          <w:bCs w:val="1"/>
          <w:sz w:val="24"/>
          <w:szCs w:val="24"/>
          <w:lang w:val="pt-BR"/>
        </w:rPr>
        <w:t>não deve prosperar a infundada alegação induzida pela Requerente de que a caducidade “substitui” as penas de multa fundadas em atos anteriores</w:t>
      </w:r>
      <w:r w:rsidRPr="6AFB895A" w:rsidR="00866670">
        <w:rPr>
          <w:b w:val="1"/>
          <w:bCs w:val="1"/>
          <w:sz w:val="24"/>
          <w:szCs w:val="24"/>
          <w:lang w:val="pt-BR"/>
        </w:rPr>
        <w:t xml:space="preserve">. </w:t>
      </w:r>
      <w:r w:rsidRPr="6AFB895A" w:rsidR="00613254">
        <w:rPr>
          <w:b w:val="1"/>
          <w:bCs w:val="1"/>
          <w:sz w:val="24"/>
          <w:szCs w:val="24"/>
          <w:lang w:val="pt-BR"/>
        </w:rPr>
        <w:t xml:space="preserve">À luz desse objeto, </w:t>
      </w:r>
      <w:r w:rsidRPr="6AFB895A" w:rsidR="0000715F">
        <w:rPr>
          <w:b w:val="1"/>
          <w:bCs w:val="1"/>
          <w:sz w:val="24"/>
          <w:szCs w:val="24"/>
          <w:lang w:val="pt-BR"/>
        </w:rPr>
        <w:t xml:space="preserve">consideram-se devidas todas as penalidades de multa aplicadas até </w:t>
      </w:r>
      <w:r w:rsidRPr="6AFB895A" w:rsidR="00866670">
        <w:rPr>
          <w:b w:val="1"/>
          <w:bCs w:val="1"/>
          <w:sz w:val="24"/>
          <w:szCs w:val="24"/>
          <w:lang w:val="pt-BR"/>
        </w:rPr>
        <w:t xml:space="preserve">a data de extinção do Contrato, uma vez que, até tal </w:t>
      </w:r>
      <w:r w:rsidRPr="6AFB895A" w:rsidR="0000715F">
        <w:rPr>
          <w:b w:val="1"/>
          <w:bCs w:val="1"/>
          <w:sz w:val="24"/>
          <w:szCs w:val="24"/>
          <w:lang w:val="pt-BR"/>
        </w:rPr>
        <w:t>momento</w:t>
      </w:r>
      <w:r w:rsidRPr="6AFB895A" w:rsidR="00866670">
        <w:rPr>
          <w:b w:val="1"/>
          <w:bCs w:val="1"/>
          <w:sz w:val="24"/>
          <w:szCs w:val="24"/>
          <w:lang w:val="pt-BR"/>
        </w:rPr>
        <w:t>, a</w:t>
      </w:r>
      <w:r w:rsidRPr="6AFB895A" w:rsidR="000B2711">
        <w:rPr>
          <w:b w:val="1"/>
          <w:bCs w:val="1"/>
          <w:sz w:val="24"/>
          <w:szCs w:val="24"/>
          <w:lang w:val="pt-BR"/>
        </w:rPr>
        <w:t xml:space="preserve"> Requerente mantinha uma relação jurídica com </w:t>
      </w:r>
      <w:r w:rsidRPr="6AFB895A" w:rsidR="00866670">
        <w:rPr>
          <w:b w:val="1"/>
          <w:bCs w:val="1"/>
          <w:sz w:val="24"/>
          <w:szCs w:val="24"/>
          <w:lang w:val="pt-BR"/>
        </w:rPr>
        <w:t xml:space="preserve">o Poder Concedente e estava sujeita, </w:t>
      </w:r>
      <w:r w:rsidRPr="6AFB895A" w:rsidR="00866670">
        <w:rPr>
          <w:b w:val="1"/>
          <w:bCs w:val="1"/>
          <w:sz w:val="24"/>
          <w:szCs w:val="24"/>
          <w:u w:val="single"/>
          <w:lang w:val="pt-BR"/>
        </w:rPr>
        <w:t>para todos os efeitos</w:t>
      </w:r>
      <w:r w:rsidRPr="6AFB895A" w:rsidR="00866670">
        <w:rPr>
          <w:b w:val="1"/>
          <w:bCs w:val="1"/>
          <w:sz w:val="24"/>
          <w:szCs w:val="24"/>
          <w:lang w:val="pt-BR"/>
        </w:rPr>
        <w:t xml:space="preserve">, </w:t>
      </w:r>
      <w:r w:rsidRPr="6AFB895A" w:rsidR="00613254">
        <w:rPr>
          <w:b w:val="1"/>
          <w:bCs w:val="1"/>
          <w:sz w:val="24"/>
          <w:szCs w:val="24"/>
          <w:lang w:val="pt-BR"/>
        </w:rPr>
        <w:t>à disciplina contratual</w:t>
      </w:r>
      <w:r w:rsidRPr="6AFB895A" w:rsidR="0000715F">
        <w:rPr>
          <w:b w:val="1"/>
          <w:bCs w:val="1"/>
          <w:sz w:val="24"/>
          <w:szCs w:val="24"/>
          <w:lang w:val="pt-BR"/>
        </w:rPr>
        <w:t xml:space="preserve"> e normativa incidentes.</w:t>
      </w:r>
      <w:r w:rsidRPr="6AFB895A" w:rsidR="00613254">
        <w:rPr>
          <w:b w:val="1"/>
          <w:bCs w:val="1"/>
          <w:sz w:val="24"/>
          <w:szCs w:val="24"/>
          <w:lang w:val="pt-BR"/>
        </w:rPr>
        <w:t xml:space="preserve"> </w:t>
      </w:r>
    </w:p>
    <w:p w:rsidR="0000715F" w:rsidP="6AFB895A" w:rsidRDefault="0000715F" w14:paraId="08F21757" w14:textId="2B9BB27E">
      <w:pPr>
        <w:pStyle w:val="ListParagraph"/>
        <w:numPr>
          <w:ilvl w:val="0"/>
          <w:numId w:val="5"/>
        </w:numPr>
        <w:spacing w:before="0" w:after="240" w:line="360" w:lineRule="auto"/>
        <w:ind w:left="0" w:firstLine="0"/>
        <w:jc w:val="both"/>
        <w:rPr>
          <w:sz w:val="24"/>
          <w:szCs w:val="24"/>
          <w:lang w:val="pt-BR"/>
        </w:rPr>
      </w:pPr>
      <w:proofErr w:type="gramStart"/>
      <w:r w:rsidRPr="6AFB895A" w:rsidR="0000715F">
        <w:rPr>
          <w:sz w:val="24"/>
          <w:szCs w:val="24"/>
          <w:lang w:val="pt-BR"/>
        </w:rPr>
        <w:t>Nesse linha</w:t>
      </w:r>
      <w:proofErr w:type="gramEnd"/>
      <w:r w:rsidRPr="6AFB895A" w:rsidR="0000715F">
        <w:rPr>
          <w:sz w:val="24"/>
          <w:szCs w:val="24"/>
          <w:lang w:val="pt-BR"/>
        </w:rPr>
        <w:t>, é forçoso perceber que o</w:t>
      </w:r>
      <w:r w:rsidRPr="6AFB895A" w:rsidR="00613254">
        <w:rPr>
          <w:sz w:val="24"/>
          <w:szCs w:val="24"/>
          <w:lang w:val="pt-BR"/>
        </w:rPr>
        <w:t xml:space="preserve"> Contrato de Concessão</w:t>
      </w:r>
      <w:r w:rsidRPr="6AFB895A" w:rsidR="00D241AA">
        <w:rPr>
          <w:sz w:val="24"/>
          <w:szCs w:val="24"/>
          <w:lang w:val="pt-BR"/>
        </w:rPr>
        <w:t xml:space="preserve">, reverberando a previsão do </w:t>
      </w:r>
      <w:r w:rsidRPr="6AFB895A" w:rsidR="00EF1DAF">
        <w:rPr>
          <w:sz w:val="24"/>
          <w:szCs w:val="24"/>
          <w:lang w:val="pt-BR"/>
        </w:rPr>
        <w:t>§ 5º, do art. 38 da</w:t>
      </w:r>
      <w:r w:rsidRPr="6AFB895A" w:rsidR="00EF1DAF">
        <w:rPr>
          <w:sz w:val="24"/>
          <w:szCs w:val="24"/>
          <w:lang w:val="pt-BR"/>
        </w:rPr>
        <w:t xml:space="preserve"> </w:t>
      </w:r>
      <w:r w:rsidRPr="6AFB895A" w:rsidR="00EF1DAF">
        <w:rPr>
          <w:sz w:val="24"/>
          <w:szCs w:val="24"/>
          <w:lang w:val="pt-BR"/>
        </w:rPr>
        <w:t>Lei n° 8.987/1995</w:t>
      </w:r>
      <w:r w:rsidRPr="6AFB895A" w:rsidR="00EF1DAF">
        <w:rPr>
          <w:sz w:val="24"/>
          <w:szCs w:val="24"/>
          <w:lang w:val="pt-BR"/>
        </w:rPr>
        <w:t>,</w:t>
      </w:r>
      <w:r w:rsidRPr="6AFB895A" w:rsidR="00613254">
        <w:rPr>
          <w:sz w:val="24"/>
          <w:szCs w:val="24"/>
          <w:lang w:val="pt-BR"/>
        </w:rPr>
        <w:t xml:space="preserve"> reforça </w:t>
      </w:r>
      <w:r w:rsidRPr="6AFB895A" w:rsidR="00EF1DAF">
        <w:rPr>
          <w:sz w:val="24"/>
          <w:szCs w:val="24"/>
          <w:lang w:val="pt-BR"/>
        </w:rPr>
        <w:t>a</w:t>
      </w:r>
      <w:r w:rsidRPr="6AFB895A" w:rsidR="00613254">
        <w:rPr>
          <w:sz w:val="24"/>
          <w:szCs w:val="24"/>
          <w:lang w:val="pt-BR"/>
        </w:rPr>
        <w:t xml:space="preserve"> tese</w:t>
      </w:r>
      <w:r w:rsidRPr="6AFB895A" w:rsidR="00EF1DAF">
        <w:rPr>
          <w:sz w:val="24"/>
          <w:szCs w:val="24"/>
          <w:lang w:val="pt-BR"/>
        </w:rPr>
        <w:t xml:space="preserve"> aqui defendida</w:t>
      </w:r>
      <w:r w:rsidRPr="6AFB895A" w:rsidR="00D241AA">
        <w:rPr>
          <w:sz w:val="24"/>
          <w:szCs w:val="24"/>
          <w:lang w:val="pt-BR"/>
        </w:rPr>
        <w:t>, senão vejamos a previsão da cláusula 32.7.2 (</w:t>
      </w:r>
      <w:proofErr w:type="spellStart"/>
      <w:r w:rsidRPr="6AFB895A" w:rsidR="00D241AA">
        <w:rPr>
          <w:sz w:val="24"/>
          <w:szCs w:val="24"/>
          <w:lang w:val="pt-BR"/>
        </w:rPr>
        <w:t>ii</w:t>
      </w:r>
      <w:proofErr w:type="spellEnd"/>
      <w:r w:rsidRPr="6AFB895A" w:rsidR="00D241AA">
        <w:rPr>
          <w:sz w:val="24"/>
          <w:szCs w:val="24"/>
          <w:lang w:val="pt-BR"/>
        </w:rPr>
        <w:t>) (doc. R2-01):</w:t>
      </w:r>
    </w:p>
    <w:p w:rsidR="6AFB895A" w:rsidP="6AFB895A" w:rsidRDefault="6AFB895A" w14:paraId="743A74DE" w14:textId="361E3345">
      <w:pPr>
        <w:pStyle w:val="Normal"/>
        <w:spacing w:before="0" w:after="240" w:line="360" w:lineRule="auto"/>
        <w:ind w:left="0"/>
        <w:jc w:val="both"/>
        <w:rPr>
          <w:rFonts w:ascii="Times New Roman" w:hAnsi="Times New Roman" w:eastAsia="Times New Roman" w:cs="Times New Roman"/>
          <w:sz w:val="24"/>
          <w:szCs w:val="24"/>
          <w:lang w:val="pt-BR"/>
        </w:rPr>
      </w:pPr>
    </w:p>
    <w:p w:rsidR="1F788920" w:rsidP="6AFB895A" w:rsidRDefault="1F788920" w14:paraId="38D109D8" w14:textId="3D89156D">
      <w:pPr>
        <w:pStyle w:val="Normal"/>
        <w:spacing w:before="0" w:after="240" w:line="360" w:lineRule="auto"/>
        <w:ind w:left="0"/>
        <w:jc w:val="both"/>
        <w:rPr>
          <w:rFonts w:ascii="Times New Roman" w:hAnsi="Times New Roman" w:eastAsia="Times New Roman" w:cs="Times New Roman"/>
          <w:sz w:val="24"/>
          <w:szCs w:val="24"/>
          <w:lang w:val="pt-BR"/>
        </w:rPr>
      </w:pPr>
      <w:r w:rsidR="1F788920">
        <w:drawing>
          <wp:inline wp14:editId="7643D2B3" wp14:anchorId="219D4D37">
            <wp:extent cx="6605269" cy="2463165"/>
            <wp:effectExtent l="0" t="0" r="5080" b="0"/>
            <wp:docPr id="514111773" name="Imagem 3" title=""/>
            <wp:cNvGraphicFramePr>
              <a:graphicFrameLocks noChangeAspect="1"/>
            </wp:cNvGraphicFramePr>
            <a:graphic>
              <a:graphicData uri="http://schemas.openxmlformats.org/drawingml/2006/picture">
                <pic:pic>
                  <pic:nvPicPr>
                    <pic:cNvPr id="0" name="Imagem 3"/>
                    <pic:cNvPicPr/>
                  </pic:nvPicPr>
                  <pic:blipFill>
                    <a:blip r:embed="Rc2e62c6c4aec4c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05269" cy="2463165"/>
                    </a:xfrm>
                    <a:prstGeom prst="rect">
                      <a:avLst/>
                    </a:prstGeom>
                  </pic:spPr>
                </pic:pic>
              </a:graphicData>
            </a:graphic>
          </wp:inline>
        </w:drawing>
      </w:r>
    </w:p>
    <w:p w:rsidR="00D241AA" w:rsidP="6AFB895A" w:rsidRDefault="00D241AA" w14:paraId="036E17C2" w14:textId="3F6D3ACE">
      <w:pPr>
        <w:pStyle w:val="ListParagraph"/>
        <w:numPr>
          <w:ilvl w:val="0"/>
          <w:numId w:val="5"/>
        </w:numPr>
        <w:spacing w:before="0" w:after="240" w:line="360" w:lineRule="auto"/>
        <w:ind w:left="0" w:firstLine="0"/>
        <w:jc w:val="both"/>
        <w:rPr>
          <w:sz w:val="24"/>
          <w:szCs w:val="24"/>
          <w:lang w:val="pt-BR"/>
        </w:rPr>
      </w:pPr>
      <w:r w:rsidRPr="6AFB895A" w:rsidR="00D241AA">
        <w:rPr>
          <w:sz w:val="24"/>
          <w:szCs w:val="24"/>
          <w:lang w:val="pt-BR"/>
        </w:rPr>
        <w:t xml:space="preserve">Ao prever o desconto das multas contratuais na eventual indenização de bens reversíveis decorrentes da caducidade, por óbvio, </w:t>
      </w:r>
      <w:r w:rsidRPr="6AFB895A" w:rsidR="00EF1DAF">
        <w:rPr>
          <w:sz w:val="24"/>
          <w:szCs w:val="24"/>
          <w:lang w:val="pt-BR"/>
        </w:rPr>
        <w:t>a disposição rechaça a frágil defesa de substituição apresentada pela Requerente.</w:t>
      </w:r>
    </w:p>
    <w:p w:rsidR="00301E81" w:rsidP="6AFB895A" w:rsidRDefault="00301E81" w14:paraId="4AEC6429" w14:textId="117AD11E">
      <w:pPr>
        <w:pStyle w:val="ListParagraph"/>
        <w:numPr>
          <w:ilvl w:val="0"/>
          <w:numId w:val="5"/>
        </w:numPr>
        <w:spacing w:before="0" w:after="240" w:line="360" w:lineRule="auto"/>
        <w:ind w:left="0" w:firstLine="0"/>
        <w:jc w:val="both"/>
        <w:rPr>
          <w:sz w:val="24"/>
          <w:szCs w:val="24"/>
          <w:lang w:val="pt-BR"/>
        </w:rPr>
      </w:pPr>
      <w:r w:rsidRPr="6AFB895A" w:rsidR="00301E81">
        <w:rPr>
          <w:sz w:val="24"/>
          <w:szCs w:val="24"/>
          <w:lang w:val="pt-BR"/>
        </w:rPr>
        <w:t>Apenas para reforçar a legalidade desse entendimento, trazemos à baila a nova regulamentação da ANTT que endereçou o tema</w:t>
      </w:r>
      <w:r w:rsidRPr="6AFB895A" w:rsidR="0000715F">
        <w:rPr>
          <w:sz w:val="24"/>
          <w:szCs w:val="24"/>
          <w:lang w:val="pt-BR"/>
        </w:rPr>
        <w:t>, a</w:t>
      </w:r>
      <w:r w:rsidRPr="6AFB895A" w:rsidR="00301E81">
        <w:rPr>
          <w:sz w:val="24"/>
          <w:szCs w:val="24"/>
          <w:lang w:val="pt-BR"/>
        </w:rPr>
        <w:t xml:space="preserve"> Resolução n° 5.935, de 27 de abril de 2021</w:t>
      </w:r>
      <w:r w:rsidRPr="6AFB895A" w:rsidR="006B4544">
        <w:rPr>
          <w:sz w:val="24"/>
          <w:szCs w:val="24"/>
          <w:lang w:val="pt-BR"/>
        </w:rPr>
        <w:t xml:space="preserve"> (</w:t>
      </w:r>
      <w:proofErr w:type="spellStart"/>
      <w:r w:rsidRPr="6AFB895A" w:rsidR="006B4544">
        <w:rPr>
          <w:sz w:val="24"/>
          <w:szCs w:val="24"/>
          <w:lang w:val="en-US"/>
        </w:rPr>
        <w:t>estabelece</w:t>
      </w:r>
      <w:proofErr w:type="spellEnd"/>
      <w:r w:rsidRPr="6AFB895A" w:rsidR="006B4544">
        <w:rPr>
          <w:sz w:val="24"/>
          <w:szCs w:val="24"/>
          <w:lang w:val="en-US"/>
        </w:rPr>
        <w:t xml:space="preserve"> as </w:t>
      </w:r>
      <w:proofErr w:type="spellStart"/>
      <w:r w:rsidRPr="6AFB895A" w:rsidR="006B4544">
        <w:rPr>
          <w:sz w:val="24"/>
          <w:szCs w:val="24"/>
          <w:lang w:val="en-US"/>
        </w:rPr>
        <w:t>diretrizes</w:t>
      </w:r>
      <w:proofErr w:type="spellEnd"/>
      <w:r w:rsidRPr="6AFB895A" w:rsidR="006B4544">
        <w:rPr>
          <w:sz w:val="24"/>
          <w:szCs w:val="24"/>
          <w:lang w:val="en-US"/>
        </w:rPr>
        <w:t xml:space="preserve"> e </w:t>
      </w:r>
      <w:proofErr w:type="spellStart"/>
      <w:r w:rsidRPr="6AFB895A" w:rsidR="006B4544">
        <w:rPr>
          <w:sz w:val="24"/>
          <w:szCs w:val="24"/>
          <w:lang w:val="en-US"/>
        </w:rPr>
        <w:t>regras</w:t>
      </w:r>
      <w:proofErr w:type="spellEnd"/>
      <w:r w:rsidRPr="6AFB895A" w:rsidR="006B4544">
        <w:rPr>
          <w:sz w:val="24"/>
          <w:szCs w:val="24"/>
          <w:lang w:val="en-US"/>
        </w:rPr>
        <w:t xml:space="preserve"> do </w:t>
      </w:r>
      <w:proofErr w:type="spellStart"/>
      <w:r w:rsidRPr="6AFB895A" w:rsidR="006B4544">
        <w:rPr>
          <w:sz w:val="24"/>
          <w:szCs w:val="24"/>
          <w:lang w:val="en-US"/>
        </w:rPr>
        <w:t>processo</w:t>
      </w:r>
      <w:proofErr w:type="spellEnd"/>
      <w:r w:rsidRPr="6AFB895A" w:rsidR="006B4544">
        <w:rPr>
          <w:sz w:val="24"/>
          <w:szCs w:val="24"/>
          <w:lang w:val="en-US"/>
        </w:rPr>
        <w:t xml:space="preserve"> </w:t>
      </w:r>
      <w:proofErr w:type="spellStart"/>
      <w:r w:rsidRPr="6AFB895A" w:rsidR="006B4544">
        <w:rPr>
          <w:sz w:val="24"/>
          <w:szCs w:val="24"/>
          <w:lang w:val="en-US"/>
        </w:rPr>
        <w:t>administrativo</w:t>
      </w:r>
      <w:proofErr w:type="spellEnd"/>
      <w:r w:rsidRPr="6AFB895A" w:rsidR="006B4544">
        <w:rPr>
          <w:sz w:val="24"/>
          <w:szCs w:val="24"/>
          <w:lang w:val="en-US"/>
        </w:rPr>
        <w:t xml:space="preserve"> de </w:t>
      </w:r>
      <w:proofErr w:type="spellStart"/>
      <w:r w:rsidRPr="6AFB895A" w:rsidR="006B4544">
        <w:rPr>
          <w:sz w:val="24"/>
          <w:szCs w:val="24"/>
          <w:lang w:val="en-US"/>
        </w:rPr>
        <w:t>extinção</w:t>
      </w:r>
      <w:proofErr w:type="spellEnd"/>
      <w:r w:rsidRPr="6AFB895A" w:rsidR="006B4544">
        <w:rPr>
          <w:sz w:val="24"/>
          <w:szCs w:val="24"/>
          <w:lang w:val="en-US"/>
        </w:rPr>
        <w:t xml:space="preserve"> dos </w:t>
      </w:r>
      <w:proofErr w:type="spellStart"/>
      <w:r w:rsidRPr="6AFB895A" w:rsidR="006B4544">
        <w:rPr>
          <w:sz w:val="24"/>
          <w:szCs w:val="24"/>
          <w:lang w:val="en-US"/>
        </w:rPr>
        <w:t>contratos</w:t>
      </w:r>
      <w:proofErr w:type="spellEnd"/>
      <w:r w:rsidRPr="6AFB895A" w:rsidR="006B4544">
        <w:rPr>
          <w:sz w:val="24"/>
          <w:szCs w:val="24"/>
          <w:lang w:val="en-US"/>
        </w:rPr>
        <w:t xml:space="preserve"> de </w:t>
      </w:r>
      <w:proofErr w:type="spellStart"/>
      <w:r w:rsidRPr="6AFB895A" w:rsidR="006B4544">
        <w:rPr>
          <w:sz w:val="24"/>
          <w:szCs w:val="24"/>
          <w:lang w:val="en-US"/>
        </w:rPr>
        <w:t>concessão</w:t>
      </w:r>
      <w:proofErr w:type="spellEnd"/>
      <w:r w:rsidRPr="6AFB895A" w:rsidR="006B4544">
        <w:rPr>
          <w:sz w:val="24"/>
          <w:szCs w:val="24"/>
          <w:lang w:val="en-US"/>
        </w:rPr>
        <w:t xml:space="preserve"> de </w:t>
      </w:r>
      <w:proofErr w:type="spellStart"/>
      <w:r w:rsidRPr="6AFB895A" w:rsidR="006B4544">
        <w:rPr>
          <w:sz w:val="24"/>
          <w:szCs w:val="24"/>
          <w:lang w:val="en-US"/>
        </w:rPr>
        <w:t>exploração</w:t>
      </w:r>
      <w:proofErr w:type="spellEnd"/>
      <w:r w:rsidRPr="6AFB895A" w:rsidR="006B4544">
        <w:rPr>
          <w:sz w:val="24"/>
          <w:szCs w:val="24"/>
          <w:lang w:val="en-US"/>
        </w:rPr>
        <w:t xml:space="preserve"> da </w:t>
      </w:r>
      <w:proofErr w:type="spellStart"/>
      <w:r w:rsidRPr="6AFB895A" w:rsidR="006B4544">
        <w:rPr>
          <w:sz w:val="24"/>
          <w:szCs w:val="24"/>
          <w:lang w:val="en-US"/>
        </w:rPr>
        <w:t>infraestrutura</w:t>
      </w:r>
      <w:proofErr w:type="spellEnd"/>
      <w:r w:rsidRPr="6AFB895A" w:rsidR="006B4544">
        <w:rPr>
          <w:sz w:val="24"/>
          <w:szCs w:val="24"/>
          <w:lang w:val="en-US"/>
        </w:rPr>
        <w:t xml:space="preserve"> </w:t>
      </w:r>
      <w:proofErr w:type="spellStart"/>
      <w:r w:rsidRPr="6AFB895A" w:rsidR="006B4544">
        <w:rPr>
          <w:sz w:val="24"/>
          <w:szCs w:val="24"/>
          <w:lang w:val="en-US"/>
        </w:rPr>
        <w:t>rodoviária</w:t>
      </w:r>
      <w:proofErr w:type="spellEnd"/>
      <w:r w:rsidRPr="6AFB895A" w:rsidR="006B4544">
        <w:rPr>
          <w:sz w:val="24"/>
          <w:szCs w:val="24"/>
          <w:lang w:val="en-US"/>
        </w:rPr>
        <w:t xml:space="preserve"> por </w:t>
      </w:r>
      <w:proofErr w:type="spellStart"/>
      <w:r w:rsidRPr="6AFB895A" w:rsidR="006B4544">
        <w:rPr>
          <w:sz w:val="24"/>
          <w:szCs w:val="24"/>
          <w:lang w:val="en-US"/>
        </w:rPr>
        <w:t>inadimplência</w:t>
      </w:r>
      <w:proofErr w:type="spellEnd"/>
      <w:r w:rsidRPr="6AFB895A" w:rsidR="006B4544">
        <w:rPr>
          <w:sz w:val="24"/>
          <w:szCs w:val="24"/>
          <w:lang w:val="en-US"/>
        </w:rPr>
        <w:t xml:space="preserve"> </w:t>
      </w:r>
      <w:proofErr w:type="spellStart"/>
      <w:r w:rsidRPr="6AFB895A" w:rsidR="006B4544">
        <w:rPr>
          <w:sz w:val="24"/>
          <w:szCs w:val="24"/>
          <w:lang w:val="en-US"/>
        </w:rPr>
        <w:t>previsto</w:t>
      </w:r>
      <w:proofErr w:type="spellEnd"/>
      <w:r w:rsidRPr="6AFB895A" w:rsidR="006B4544">
        <w:rPr>
          <w:sz w:val="24"/>
          <w:szCs w:val="24"/>
          <w:lang w:val="en-US"/>
        </w:rPr>
        <w:t xml:space="preserve"> no art. 38, § 2º, da Lei nº 8.987, de 13 de </w:t>
      </w:r>
      <w:proofErr w:type="spellStart"/>
      <w:r w:rsidRPr="6AFB895A" w:rsidR="006B4544">
        <w:rPr>
          <w:sz w:val="24"/>
          <w:szCs w:val="24"/>
          <w:lang w:val="en-US"/>
        </w:rPr>
        <w:t>fevereiro</w:t>
      </w:r>
      <w:proofErr w:type="spellEnd"/>
      <w:r w:rsidRPr="6AFB895A" w:rsidR="006B4544">
        <w:rPr>
          <w:sz w:val="24"/>
          <w:szCs w:val="24"/>
          <w:lang w:val="en-US"/>
        </w:rPr>
        <w:t xml:space="preserve"> de 1995, no </w:t>
      </w:r>
      <w:proofErr w:type="spellStart"/>
      <w:r w:rsidRPr="6AFB895A" w:rsidR="006B4544">
        <w:rPr>
          <w:sz w:val="24"/>
          <w:szCs w:val="24"/>
          <w:lang w:val="en-US"/>
        </w:rPr>
        <w:t>âmbito</w:t>
      </w:r>
      <w:proofErr w:type="spellEnd"/>
      <w:r w:rsidRPr="6AFB895A" w:rsidR="006B4544">
        <w:rPr>
          <w:sz w:val="24"/>
          <w:szCs w:val="24"/>
          <w:lang w:val="en-US"/>
        </w:rPr>
        <w:t xml:space="preserve"> da </w:t>
      </w:r>
      <w:proofErr w:type="spellStart"/>
      <w:r w:rsidRPr="6AFB895A" w:rsidR="006B4544">
        <w:rPr>
          <w:sz w:val="24"/>
          <w:szCs w:val="24"/>
          <w:lang w:val="en-US"/>
        </w:rPr>
        <w:t>Agência</w:t>
      </w:r>
      <w:proofErr w:type="spellEnd"/>
      <w:r w:rsidRPr="6AFB895A" w:rsidR="006B4544">
        <w:rPr>
          <w:sz w:val="24"/>
          <w:szCs w:val="24"/>
          <w:lang w:val="en-US"/>
        </w:rPr>
        <w:t xml:space="preserve"> Nacional de </w:t>
      </w:r>
      <w:proofErr w:type="spellStart"/>
      <w:r w:rsidRPr="6AFB895A" w:rsidR="006B4544">
        <w:rPr>
          <w:sz w:val="24"/>
          <w:szCs w:val="24"/>
          <w:lang w:val="en-US"/>
        </w:rPr>
        <w:t>Transportes</w:t>
      </w:r>
      <w:proofErr w:type="spellEnd"/>
      <w:r w:rsidRPr="6AFB895A" w:rsidR="006B4544">
        <w:rPr>
          <w:sz w:val="24"/>
          <w:szCs w:val="24"/>
          <w:lang w:val="en-US"/>
        </w:rPr>
        <w:t xml:space="preserve"> </w:t>
      </w:r>
      <w:proofErr w:type="spellStart"/>
      <w:r w:rsidRPr="6AFB895A" w:rsidR="006B4544">
        <w:rPr>
          <w:sz w:val="24"/>
          <w:szCs w:val="24"/>
          <w:lang w:val="en-US"/>
        </w:rPr>
        <w:t>Terrestres</w:t>
      </w:r>
      <w:proofErr w:type="spellEnd"/>
      <w:r w:rsidRPr="6AFB895A" w:rsidR="006B4544">
        <w:rPr>
          <w:sz w:val="24"/>
          <w:szCs w:val="24"/>
          <w:lang w:val="en-US"/>
        </w:rPr>
        <w:t xml:space="preserve"> </w:t>
      </w:r>
      <w:r w:rsidRPr="6AFB895A" w:rsidR="006B4544">
        <w:rPr>
          <w:sz w:val="24"/>
          <w:szCs w:val="24"/>
          <w:lang w:val="en-US"/>
        </w:rPr>
        <w:t>–</w:t>
      </w:r>
      <w:r w:rsidRPr="6AFB895A" w:rsidR="006B4544">
        <w:rPr>
          <w:sz w:val="24"/>
          <w:szCs w:val="24"/>
          <w:lang w:val="en-US"/>
        </w:rPr>
        <w:t xml:space="preserve"> ANTT</w:t>
      </w:r>
      <w:r w:rsidRPr="6AFB895A" w:rsidR="006B4544">
        <w:rPr>
          <w:sz w:val="24"/>
          <w:szCs w:val="24"/>
          <w:lang w:val="en-US"/>
        </w:rPr>
        <w:t>)</w:t>
      </w:r>
      <w:r w:rsidRPr="6AFB895A" w:rsidR="006B4544">
        <w:rPr>
          <w:sz w:val="24"/>
          <w:szCs w:val="24"/>
          <w:lang w:val="pt-BR"/>
        </w:rPr>
        <w:t xml:space="preserve">. </w:t>
      </w:r>
      <w:r w:rsidRPr="6AFB895A" w:rsidR="003464C3">
        <w:rPr>
          <w:sz w:val="24"/>
          <w:szCs w:val="24"/>
          <w:lang w:val="pt-BR"/>
        </w:rPr>
        <w:t>O art. 16 dessa Resolução é patente</w:t>
      </w:r>
      <w:r w:rsidRPr="6AFB895A" w:rsidR="0000715F">
        <w:rPr>
          <w:sz w:val="24"/>
          <w:szCs w:val="24"/>
          <w:lang w:val="pt-BR"/>
        </w:rPr>
        <w:t xml:space="preserve"> em corporificar tal construção ao prever que </w:t>
      </w:r>
      <w:r w:rsidRPr="6AFB895A" w:rsidR="003464C3">
        <w:rPr>
          <w:sz w:val="24"/>
          <w:szCs w:val="24"/>
          <w:lang w:val="pt-BR"/>
        </w:rPr>
        <w:t>“</w:t>
      </w:r>
      <w:r w:rsidRPr="6AFB895A" w:rsidR="0000715F">
        <w:rPr>
          <w:i w:val="1"/>
          <w:iCs w:val="1"/>
          <w:sz w:val="24"/>
          <w:szCs w:val="24"/>
          <w:lang w:val="pt-BR"/>
        </w:rPr>
        <w:t>e</w:t>
      </w:r>
      <w:r w:rsidRPr="6AFB895A" w:rsidR="003464C3">
        <w:rPr>
          <w:i w:val="1"/>
          <w:iCs w:val="1"/>
          <w:sz w:val="24"/>
          <w:szCs w:val="24"/>
          <w:lang w:val="pt-BR"/>
        </w:rPr>
        <w:t xml:space="preserve">nquanto </w:t>
      </w:r>
      <w:r w:rsidRPr="6AFB895A" w:rsidR="008F62A8">
        <w:rPr>
          <w:i w:val="1"/>
          <w:iCs w:val="1"/>
          <w:sz w:val="24"/>
          <w:szCs w:val="24"/>
          <w:lang w:val="pt-BR"/>
        </w:rPr>
        <w:t>não for extinto o contrato de concessão, ficam mantidas</w:t>
      </w:r>
      <w:r w:rsidRPr="6AFB895A" w:rsidR="00FB64FE">
        <w:rPr>
          <w:i w:val="1"/>
          <w:iCs w:val="1"/>
          <w:sz w:val="24"/>
          <w:szCs w:val="24"/>
          <w:lang w:val="pt-BR"/>
        </w:rPr>
        <w:t xml:space="preserve"> as obrigações nele previstas e as medidas de fiscalização a serem aplicadas em caso de descumprimento</w:t>
      </w:r>
      <w:r w:rsidRPr="6AFB895A" w:rsidR="00FB64FE">
        <w:rPr>
          <w:sz w:val="24"/>
          <w:szCs w:val="24"/>
          <w:lang w:val="pt-BR"/>
        </w:rPr>
        <w:t xml:space="preserve">”. </w:t>
      </w:r>
    </w:p>
    <w:p w:rsidR="6AFB895A" w:rsidP="6AFB895A" w:rsidRDefault="6AFB895A" w14:paraId="3AE18E01">
      <w:pPr>
        <w:pStyle w:val="ListParagraph"/>
        <w:spacing w:before="0" w:after="240" w:line="360" w:lineRule="auto"/>
        <w:ind w:left="0" w:firstLine="0"/>
        <w:jc w:val="both"/>
        <w:rPr>
          <w:sz w:val="24"/>
          <w:szCs w:val="24"/>
          <w:lang w:val="pt-BR"/>
        </w:rPr>
      </w:pPr>
    </w:p>
    <w:p w:rsidR="61C69EBA" w:rsidP="6AFB895A" w:rsidRDefault="61C69EBA" w14:paraId="716AED0A" w14:textId="7965A327">
      <w:pPr>
        <w:shd w:val="clear" w:color="auto" w:fill="D9D9D9" w:themeFill="background1" w:themeFillShade="D9"/>
        <w:spacing w:after="240" w:line="360" w:lineRule="auto"/>
        <w:jc w:val="center"/>
        <w:rPr>
          <w:b w:val="1"/>
          <w:bCs w:val="1"/>
          <w:sz w:val="24"/>
          <w:szCs w:val="24"/>
          <w:lang w:val="pt-BR"/>
        </w:rPr>
      </w:pPr>
      <w:r w:rsidRPr="6AFB895A" w:rsidR="61C69EBA">
        <w:rPr>
          <w:b w:val="1"/>
          <w:bCs w:val="1"/>
          <w:sz w:val="24"/>
          <w:szCs w:val="24"/>
          <w:lang w:val="pt-BR"/>
        </w:rPr>
        <w:t>ATUALIZAÇÃO DOS VALORES NOS TERMOS DA LEGISLAÇÃO VIGENTE</w:t>
      </w:r>
    </w:p>
    <w:p w:rsidR="00262634" w:rsidP="6AFB895A" w:rsidRDefault="00262634" w14:paraId="707122CA" w14:textId="794F2941">
      <w:pPr>
        <w:pStyle w:val="ListParagraph"/>
        <w:numPr>
          <w:ilvl w:val="0"/>
          <w:numId w:val="5"/>
        </w:numPr>
        <w:spacing w:before="0" w:after="240" w:line="360" w:lineRule="auto"/>
        <w:ind w:left="0" w:firstLine="0"/>
        <w:jc w:val="both"/>
        <w:rPr>
          <w:sz w:val="24"/>
          <w:szCs w:val="24"/>
          <w:lang w:val="pt-BR"/>
        </w:rPr>
      </w:pPr>
      <w:r w:rsidRPr="6AFB895A" w:rsidR="00262634">
        <w:rPr>
          <w:sz w:val="24"/>
          <w:szCs w:val="24"/>
          <w:lang w:val="pt-BR"/>
        </w:rPr>
        <w:t>Em relação</w:t>
      </w:r>
      <w:r w:rsidRPr="6AFB895A" w:rsidR="00C32B6C">
        <w:rPr>
          <w:sz w:val="24"/>
          <w:szCs w:val="24"/>
          <w:lang w:val="pt-BR"/>
        </w:rPr>
        <w:t xml:space="preserve"> ao</w:t>
      </w:r>
      <w:r w:rsidRPr="6AFB895A" w:rsidR="00262634">
        <w:rPr>
          <w:sz w:val="24"/>
          <w:szCs w:val="24"/>
          <w:lang w:val="pt-BR"/>
        </w:rPr>
        <w:t xml:space="preserve"> </w:t>
      </w:r>
      <w:r w:rsidRPr="6AFB895A" w:rsidR="00F13177">
        <w:rPr>
          <w:i w:val="1"/>
          <w:iCs w:val="1"/>
          <w:sz w:val="24"/>
          <w:szCs w:val="24"/>
          <w:lang w:val="pt-BR"/>
        </w:rPr>
        <w:t>posterior acréscimo ao cálculo das multas administrativas e das verbas de fiscalização</w:t>
      </w:r>
      <w:r w:rsidRPr="6AFB895A" w:rsidR="00C32B6C">
        <w:rPr>
          <w:sz w:val="24"/>
          <w:szCs w:val="24"/>
          <w:lang w:val="pt-BR"/>
        </w:rPr>
        <w:t xml:space="preserve"> </w:t>
      </w:r>
      <w:r w:rsidRPr="6AFB895A" w:rsidR="00C32B6C">
        <w:rPr>
          <w:sz w:val="24"/>
          <w:szCs w:val="24"/>
          <w:lang w:val="pt-BR"/>
        </w:rPr>
        <w:t>c</w:t>
      </w:r>
      <w:r w:rsidRPr="6AFB895A" w:rsidR="00AD7B4F">
        <w:rPr>
          <w:sz w:val="24"/>
          <w:szCs w:val="24"/>
          <w:lang w:val="pt-BR"/>
        </w:rPr>
        <w:t xml:space="preserve">umpre ressaltar brevemente alguns dos aspectos do procedimento </w:t>
      </w:r>
      <w:r w:rsidRPr="6AFB895A" w:rsidR="0042747A">
        <w:rPr>
          <w:sz w:val="24"/>
          <w:szCs w:val="24"/>
          <w:lang w:val="pt-BR"/>
        </w:rPr>
        <w:t>d</w:t>
      </w:r>
      <w:r w:rsidRPr="6AFB895A" w:rsidR="00C32B6C">
        <w:rPr>
          <w:sz w:val="24"/>
          <w:szCs w:val="24"/>
          <w:lang w:val="pt-BR"/>
        </w:rPr>
        <w:t>e</w:t>
      </w:r>
      <w:r w:rsidRPr="6AFB895A" w:rsidR="0042747A">
        <w:rPr>
          <w:sz w:val="24"/>
          <w:szCs w:val="24"/>
          <w:lang w:val="pt-BR"/>
        </w:rPr>
        <w:t xml:space="preserve"> atualização desses valores</w:t>
      </w:r>
      <w:r w:rsidRPr="6AFB895A" w:rsidR="00AD7B4F">
        <w:rPr>
          <w:sz w:val="24"/>
          <w:szCs w:val="24"/>
          <w:lang w:val="pt-BR"/>
        </w:rPr>
        <w:t xml:space="preserve"> e os seus fundamentos legais. </w:t>
      </w:r>
    </w:p>
    <w:p w:rsidR="4352452C" w:rsidP="6AFB895A" w:rsidRDefault="4352452C" w14:paraId="0E6F1FE3" w14:textId="06D54056">
      <w:pPr>
        <w:pStyle w:val="ListParagraph"/>
        <w:numPr>
          <w:ilvl w:val="0"/>
          <w:numId w:val="5"/>
        </w:numPr>
        <w:spacing w:before="0" w:after="240" w:line="360" w:lineRule="auto"/>
        <w:ind w:left="0" w:firstLine="0"/>
        <w:jc w:val="both"/>
        <w:rPr>
          <w:sz w:val="24"/>
          <w:szCs w:val="24"/>
          <w:lang w:val="pt-BR"/>
        </w:rPr>
      </w:pPr>
      <w:r w:rsidRPr="6AFB895A" w:rsidR="4352452C">
        <w:rPr>
          <w:sz w:val="24"/>
          <w:szCs w:val="24"/>
          <w:lang w:val="pt-BR"/>
        </w:rPr>
        <w:t>Em relação aos créditos decorrentes de multas, a Resolução ANTT nº 5.083/2016 disciplina o processo administrativo para apuração de infrações e aplicação de penalidades decorrentes de condutas que infrinjam a legislação de transportes terrestres e os deveres estabelecidos nos editais de licitações, nos contratos de concessão, de permissão e de arrendamento e nos termos de outorga de autorização.</w:t>
      </w:r>
    </w:p>
    <w:p w:rsidR="4352452C" w:rsidP="6AFB895A" w:rsidRDefault="4352452C" w14:paraId="1579927A" w14:textId="23BC6B34">
      <w:pPr>
        <w:pStyle w:val="ListParagraph"/>
        <w:numPr>
          <w:ilvl w:val="0"/>
          <w:numId w:val="5"/>
        </w:numPr>
        <w:spacing w:before="0" w:after="240" w:line="360" w:lineRule="auto"/>
        <w:ind w:left="0" w:firstLine="0"/>
        <w:jc w:val="both"/>
        <w:rPr>
          <w:sz w:val="24"/>
          <w:szCs w:val="24"/>
          <w:lang w:val="pt-BR"/>
        </w:rPr>
      </w:pPr>
      <w:r w:rsidRPr="6AFB895A" w:rsidR="4352452C">
        <w:rPr>
          <w:rFonts w:ascii="Times New Roman" w:hAnsi="Times New Roman" w:eastAsia="Times New Roman" w:cs="Times New Roman"/>
          <w:sz w:val="24"/>
          <w:szCs w:val="24"/>
          <w:lang w:val="pt-BR"/>
        </w:rPr>
        <w:t>Em apertada síntese, nos termos da norma em epígrafe, as infrações puníveis com as penalidades de advertência ou multa serão apuradas mediante Processo Administrativo Simplificado – PAS que, após notificação do infrator, será encaminhado à decisão do Gerente responsável, submetida à recurso no prazo regulamentar (</w:t>
      </w:r>
      <w:proofErr w:type="spellStart"/>
      <w:r w:rsidRPr="6AFB895A" w:rsidR="4352452C">
        <w:rPr>
          <w:sz w:val="24"/>
          <w:szCs w:val="24"/>
          <w:lang w:val="pt-BR"/>
        </w:rPr>
        <w:t>arts</w:t>
      </w:r>
      <w:proofErr w:type="spellEnd"/>
      <w:r w:rsidRPr="6AFB895A" w:rsidR="4352452C">
        <w:rPr>
          <w:sz w:val="24"/>
          <w:szCs w:val="24"/>
          <w:lang w:val="pt-BR"/>
        </w:rPr>
        <w:t xml:space="preserve">. 62 a 85, da Resolução ANTT nº 5.082/2016). O normativo prevê ainda que proferida decisão final, o infrator será notificado para pagamento da multa fixada e que, no caso de não pagamento na data indicada, </w:t>
      </w:r>
      <w:r w:rsidRPr="6AFB895A" w:rsidR="4352452C">
        <w:rPr>
          <w:i w:val="1"/>
          <w:iCs w:val="1"/>
          <w:sz w:val="24"/>
          <w:szCs w:val="24"/>
          <w:lang w:val="pt-BR"/>
        </w:rPr>
        <w:t>serão acrescidos juros e multa de mora, calculadas nos termos e na forma da legislação aplicável aos tributos federais, conforme previsto no art. 37-A da Lei nº 10.522, de 19 de julho de 2002</w:t>
      </w:r>
      <w:r w:rsidRPr="6AFB895A" w:rsidR="4352452C">
        <w:rPr>
          <w:sz w:val="24"/>
          <w:szCs w:val="24"/>
          <w:lang w:val="pt-BR"/>
        </w:rPr>
        <w:t xml:space="preserve"> (art. 85, § 4º), bem como que </w:t>
      </w:r>
      <w:r w:rsidRPr="6AFB895A" w:rsidR="4352452C">
        <w:rPr>
          <w:i w:val="1"/>
          <w:iCs w:val="1"/>
          <w:sz w:val="24"/>
          <w:szCs w:val="24"/>
          <w:lang w:val="pt-BR"/>
        </w:rPr>
        <w:t xml:space="preserve">a inadimplência constitui condição hábil e suficiente para a inscrição do débito no Cadastro Informativo de Créditos Não Quitados do Setor Público Federal - CADIN e Dívida Ativa </w:t>
      </w:r>
      <w:r w:rsidRPr="6AFB895A" w:rsidR="4352452C">
        <w:rPr>
          <w:sz w:val="24"/>
          <w:szCs w:val="24"/>
          <w:lang w:val="pt-BR"/>
        </w:rPr>
        <w:t>(art. 87).</w:t>
      </w:r>
    </w:p>
    <w:p w:rsidR="26D21A50" w:rsidP="6AFB895A" w:rsidRDefault="26D21A50" w14:paraId="5B09E2ED" w14:textId="1CCCDA60">
      <w:pPr>
        <w:pStyle w:val="ListParagraph"/>
        <w:numPr>
          <w:ilvl w:val="0"/>
          <w:numId w:val="5"/>
        </w:numPr>
        <w:spacing w:before="0" w:after="240" w:line="360" w:lineRule="auto"/>
        <w:ind w:left="0" w:firstLine="0"/>
        <w:jc w:val="both"/>
        <w:rPr>
          <w:rFonts w:ascii="Times New Roman" w:hAnsi="Times New Roman" w:eastAsia="Times New Roman" w:cs="Times New Roman" w:asciiTheme="minorAscii" w:hAnsiTheme="minorAscii" w:eastAsiaTheme="minorAscii" w:cstheme="minorAscii"/>
          <w:sz w:val="24"/>
          <w:szCs w:val="24"/>
          <w:lang w:val="pt-BR"/>
        </w:rPr>
      </w:pPr>
      <w:r w:rsidRPr="6AFB895A" w:rsidR="26D21A50">
        <w:rPr>
          <w:sz w:val="24"/>
          <w:szCs w:val="24"/>
          <w:lang w:val="pt-BR"/>
        </w:rPr>
        <w:t>Nessa medida, em atendimento à normatização vigente, quanto à correção de débitos não adimplidos com a Administração/Fazenda Pública aplica-se o disposto no art. 39, § 4º da Lei nº 4.320, de 17 de março de 1964 c/c art. 2º, § 2º da Lei nº 6.830, de 22 de setembro de 1980 c/c art. 37-A da Lei nº 10.522, de 19 de julho de 2002 c/c art. 61 da Lei nº 9.430, de 27 de dezembro de 1996. Incide, ainda, quanto aos encargos legais, no caso da inscrição na Dívida Ativa, o disposto no Decreto-Lei nº 1.025, de 1969 c/c art. 37-A da Lei nº 10.522, de 2002. Vejamos:</w:t>
      </w:r>
    </w:p>
    <w:p w:rsidR="26D21A50" w:rsidP="6AFB895A" w:rsidRDefault="26D21A50" w14:paraId="4D2B8832" w14:textId="2F248A41">
      <w:pPr>
        <w:spacing w:after="240" w:line="360" w:lineRule="auto"/>
        <w:ind w:left="1276"/>
        <w:jc w:val="both"/>
        <w:rPr>
          <w:b w:val="1"/>
          <w:bCs w:val="1"/>
          <w:sz w:val="20"/>
          <w:szCs w:val="20"/>
          <w:lang w:val="pt-BR"/>
        </w:rPr>
      </w:pPr>
      <w:r w:rsidRPr="6AFB895A" w:rsidR="26D21A50">
        <w:rPr>
          <w:b w:val="1"/>
          <w:bCs w:val="1"/>
          <w:sz w:val="20"/>
          <w:szCs w:val="20"/>
          <w:lang w:val="pt-BR"/>
        </w:rPr>
        <w:t>Lei nº 4.320/1964</w:t>
      </w:r>
    </w:p>
    <w:p w:rsidR="26D21A50" w:rsidP="6AFB895A" w:rsidRDefault="26D21A50" w14:paraId="6CA78385">
      <w:pPr>
        <w:spacing w:line="360" w:lineRule="auto"/>
        <w:ind w:left="1276"/>
        <w:jc w:val="both"/>
        <w:rPr>
          <w:sz w:val="20"/>
          <w:szCs w:val="20"/>
          <w:lang w:val="pt-BR"/>
        </w:rPr>
      </w:pPr>
      <w:r w:rsidRPr="6AFB895A" w:rsidR="26D21A50">
        <w:rPr>
          <w:sz w:val="20"/>
          <w:szCs w:val="20"/>
          <w:lang w:val="pt-BR"/>
        </w:rPr>
        <w:t xml:space="preserve"> "Art. 39. Os créditos da Fazenda Pública, de natureza tributária ou não tributária, serão escriturados como receita do exercício em que forem arrecadados, nas respectivas rubricas orçamentárias. (Redação dada pelo Decreto Lei nº 1.735, de 1979)</w:t>
      </w:r>
    </w:p>
    <w:p w:rsidR="26D21A50" w:rsidP="6AFB895A" w:rsidRDefault="26D21A50" w14:paraId="0995052E" w14:textId="6CD4F222">
      <w:pPr>
        <w:spacing w:line="360" w:lineRule="auto"/>
        <w:ind w:left="1276"/>
        <w:jc w:val="both"/>
        <w:rPr>
          <w:sz w:val="20"/>
          <w:szCs w:val="20"/>
          <w:lang w:val="pt-BR"/>
        </w:rPr>
      </w:pPr>
      <w:r w:rsidRPr="6AFB895A" w:rsidR="26D21A50">
        <w:rPr>
          <w:sz w:val="20"/>
          <w:szCs w:val="20"/>
          <w:lang w:val="pt-BR"/>
        </w:rPr>
        <w:t>...</w:t>
      </w:r>
    </w:p>
    <w:p w:rsidR="26D21A50" w:rsidP="6AFB895A" w:rsidRDefault="26D21A50" w14:paraId="5E7099B7">
      <w:pPr>
        <w:spacing w:line="360" w:lineRule="auto"/>
        <w:ind w:left="1276"/>
        <w:jc w:val="both"/>
        <w:rPr>
          <w:sz w:val="20"/>
          <w:szCs w:val="20"/>
          <w:lang w:val="pt-BR"/>
        </w:rPr>
      </w:pPr>
      <w:r w:rsidRPr="6AFB895A" w:rsidR="26D21A50">
        <w:rPr>
          <w:sz w:val="20"/>
          <w:szCs w:val="20"/>
          <w:lang w:val="pt-BR"/>
        </w:rPr>
        <w:t xml:space="preserve">§ 4º - </w:t>
      </w:r>
      <w:r w:rsidRPr="6AFB895A" w:rsidR="26D21A50">
        <w:rPr>
          <w:b w:val="1"/>
          <w:bCs w:val="1"/>
          <w:sz w:val="20"/>
          <w:szCs w:val="20"/>
          <w:u w:val="single"/>
          <w:lang w:val="pt-BR"/>
        </w:rPr>
        <w:t>A receita da Dívida Ativa abrange os créditos mencionados nos parágrafos anteriores, bem como os valores correspondentes à respectiva atualização monetária, à multa e juros de mora e ao encargo</w:t>
      </w:r>
      <w:r w:rsidRPr="6AFB895A" w:rsidR="26D21A50">
        <w:rPr>
          <w:sz w:val="20"/>
          <w:szCs w:val="20"/>
          <w:lang w:val="pt-BR"/>
        </w:rPr>
        <w:t xml:space="preserve"> de que tratam o art. 1º do Decreto-lei nº 1.025, de 21 de outubro de 1969, e o art. 3º do Decreto-lei nº 1.645, de 11 de dezembro de 1978. (Incluído pelo Decreto Lei nº 1.735, de 1979)"</w:t>
      </w:r>
    </w:p>
    <w:p w:rsidR="26D21A50" w:rsidP="6AFB895A" w:rsidRDefault="26D21A50" w14:paraId="0A14E259">
      <w:pPr>
        <w:spacing w:after="240" w:line="360" w:lineRule="auto"/>
        <w:ind w:left="1276"/>
        <w:jc w:val="both"/>
        <w:rPr>
          <w:sz w:val="20"/>
          <w:szCs w:val="20"/>
          <w:lang w:val="pt-BR"/>
        </w:rPr>
      </w:pPr>
      <w:r w:rsidRPr="6AFB895A" w:rsidR="26D21A50">
        <w:rPr>
          <w:sz w:val="20"/>
          <w:szCs w:val="20"/>
          <w:lang w:val="pt-BR"/>
        </w:rPr>
        <w:t xml:space="preserve"> </w:t>
      </w:r>
    </w:p>
    <w:p w:rsidR="26D21A50" w:rsidP="6AFB895A" w:rsidRDefault="26D21A50" w14:paraId="39C6CD00" w14:textId="38897D1F">
      <w:pPr>
        <w:spacing w:after="240" w:line="360" w:lineRule="auto"/>
        <w:ind w:left="1276"/>
        <w:jc w:val="both"/>
        <w:rPr>
          <w:sz w:val="20"/>
          <w:szCs w:val="20"/>
          <w:lang w:val="pt-BR"/>
        </w:rPr>
      </w:pPr>
      <w:r w:rsidRPr="6AFB895A" w:rsidR="26D21A50">
        <w:rPr>
          <w:b w:val="1"/>
          <w:bCs w:val="1"/>
          <w:sz w:val="20"/>
          <w:szCs w:val="20"/>
          <w:lang w:val="pt-BR"/>
        </w:rPr>
        <w:t>Decreto-Lei nº 1.025/1969</w:t>
      </w:r>
    </w:p>
    <w:p w:rsidR="26D21A50" w:rsidP="6AFB895A" w:rsidRDefault="26D21A50" w14:paraId="1A3FEE85" w14:textId="27D8A84C">
      <w:pPr>
        <w:spacing w:after="240" w:line="360" w:lineRule="auto"/>
        <w:ind w:left="1276"/>
        <w:jc w:val="both"/>
        <w:rPr>
          <w:sz w:val="20"/>
          <w:szCs w:val="20"/>
          <w:lang w:val="pt-BR"/>
        </w:rPr>
      </w:pPr>
      <w:r w:rsidRPr="6AFB895A" w:rsidR="26D21A50">
        <w:rPr>
          <w:sz w:val="20"/>
          <w:szCs w:val="20"/>
          <w:lang w:val="pt-BR"/>
        </w:rPr>
        <w:t xml:space="preserve"> "Art 1º É declarada extinta a participação de servidores públicos na cobrança da Dívida da União, a que se referem os artigos 21 da Lei nº 4.439, de 27 de outubro de 1964, e 1º, inciso II, da Lei nº 5.421, de 25 de abril de 1968, </w:t>
      </w:r>
      <w:r w:rsidRPr="6AFB895A" w:rsidR="26D21A50">
        <w:rPr>
          <w:b w:val="1"/>
          <w:bCs w:val="1"/>
          <w:sz w:val="20"/>
          <w:szCs w:val="20"/>
          <w:u w:val="single"/>
          <w:lang w:val="pt-BR"/>
        </w:rPr>
        <w:t>passando a taxa, no total de 20% (vinte por cento), paga pelo executado, a ser recolhida aos cofres públicos, como renda da União</w:t>
      </w:r>
      <w:r w:rsidRPr="6AFB895A" w:rsidR="26D21A50">
        <w:rPr>
          <w:sz w:val="20"/>
          <w:szCs w:val="20"/>
          <w:lang w:val="pt-BR"/>
        </w:rPr>
        <w:t>. (Vide Decreto-lei nº 1.407, de 1975)  (Vide Decreto-lei nº 1.569, de 1977)      (Vide Decreto-lei nº 1.645, de 1978) (Vide Decreto-lei nº 1.893, de 1981) (Vide Decreto-lei nº 2.163, de 1984)  (Vide Decreto-lei nº 2.331, de 1987)  (Vide Lei nº 7.450, de 1985)"</w:t>
      </w:r>
    </w:p>
    <w:p w:rsidR="26D21A50" w:rsidP="6AFB895A" w:rsidRDefault="26D21A50" w14:paraId="494528D2">
      <w:pPr>
        <w:spacing w:after="240" w:line="360" w:lineRule="auto"/>
        <w:ind w:left="1276"/>
        <w:jc w:val="both"/>
        <w:rPr>
          <w:sz w:val="20"/>
          <w:szCs w:val="20"/>
          <w:lang w:val="pt-BR"/>
        </w:rPr>
      </w:pPr>
      <w:r w:rsidRPr="6AFB895A" w:rsidR="26D21A50">
        <w:rPr>
          <w:sz w:val="20"/>
          <w:szCs w:val="20"/>
          <w:lang w:val="pt-BR"/>
        </w:rPr>
        <w:t xml:space="preserve"> </w:t>
      </w:r>
    </w:p>
    <w:p w:rsidR="26D21A50" w:rsidP="6AFB895A" w:rsidRDefault="26D21A50" w14:paraId="75CFCE43" w14:textId="27A6C849">
      <w:pPr>
        <w:spacing w:after="240" w:line="360" w:lineRule="auto"/>
        <w:ind w:left="1276"/>
        <w:jc w:val="both"/>
        <w:rPr>
          <w:sz w:val="20"/>
          <w:szCs w:val="20"/>
          <w:lang w:val="pt-BR"/>
        </w:rPr>
      </w:pPr>
      <w:r w:rsidRPr="6AFB895A" w:rsidR="26D21A50">
        <w:rPr>
          <w:b w:val="1"/>
          <w:bCs w:val="1"/>
          <w:sz w:val="20"/>
          <w:szCs w:val="20"/>
          <w:lang w:val="pt-BR"/>
        </w:rPr>
        <w:t>Lei nº 6.830/1980</w:t>
      </w:r>
    </w:p>
    <w:p w:rsidR="26D21A50" w:rsidP="6AFB895A" w:rsidRDefault="26D21A50" w14:paraId="0CF8E10C">
      <w:pPr>
        <w:spacing w:after="240" w:line="360" w:lineRule="auto"/>
        <w:ind w:left="1276"/>
        <w:jc w:val="both"/>
        <w:rPr>
          <w:sz w:val="20"/>
          <w:szCs w:val="20"/>
          <w:lang w:val="pt-BR"/>
        </w:rPr>
      </w:pPr>
      <w:r w:rsidRPr="6AFB895A" w:rsidR="26D21A50">
        <w:rPr>
          <w:sz w:val="20"/>
          <w:szCs w:val="20"/>
          <w:lang w:val="pt-BR"/>
        </w:rPr>
        <w:t xml:space="preserve"> </w:t>
      </w:r>
    </w:p>
    <w:p w:rsidR="26D21A50" w:rsidP="6AFB895A" w:rsidRDefault="26D21A50" w14:paraId="7ED153C0">
      <w:pPr>
        <w:spacing w:line="360" w:lineRule="auto"/>
        <w:ind w:left="1276"/>
        <w:jc w:val="both"/>
        <w:rPr>
          <w:sz w:val="20"/>
          <w:szCs w:val="20"/>
          <w:lang w:val="pt-BR"/>
        </w:rPr>
      </w:pPr>
      <w:r w:rsidRPr="6AFB895A" w:rsidR="26D21A50">
        <w:rPr>
          <w:sz w:val="20"/>
          <w:szCs w:val="20"/>
          <w:lang w:val="pt-BR"/>
        </w:rPr>
        <w:t>"Art. 2º - Constitui Dívida Ativa da Fazenda Pública aquela definida como tributária ou não tributária na Lei nº 4.320, de 17 de março de 1964, com as alterações posteriores, que estatui normas gerais de direito financeiro para elaboração e controle dos orçamentos e balanços da União, dos Estados, dos Municípios e do Distrito Federal.</w:t>
      </w:r>
    </w:p>
    <w:p w:rsidR="26D21A50" w:rsidP="6AFB895A" w:rsidRDefault="26D21A50" w14:paraId="4020109E">
      <w:pPr>
        <w:spacing w:line="360" w:lineRule="auto"/>
        <w:ind w:left="1276"/>
        <w:jc w:val="both"/>
        <w:rPr>
          <w:sz w:val="20"/>
          <w:szCs w:val="20"/>
          <w:lang w:val="pt-BR"/>
        </w:rPr>
      </w:pPr>
      <w:r w:rsidRPr="6AFB895A" w:rsidR="26D21A50">
        <w:rPr>
          <w:sz w:val="20"/>
          <w:szCs w:val="20"/>
          <w:lang w:val="pt-BR"/>
        </w:rPr>
        <w:t>...</w:t>
      </w:r>
    </w:p>
    <w:p w:rsidR="26D21A50" w:rsidP="6AFB895A" w:rsidRDefault="26D21A50" w14:paraId="5110B690">
      <w:pPr>
        <w:spacing w:line="360" w:lineRule="auto"/>
        <w:ind w:left="1276"/>
        <w:jc w:val="both"/>
        <w:rPr>
          <w:sz w:val="20"/>
          <w:szCs w:val="20"/>
          <w:lang w:val="pt-BR"/>
        </w:rPr>
      </w:pPr>
      <w:r w:rsidRPr="6AFB895A" w:rsidR="26D21A50">
        <w:rPr>
          <w:sz w:val="20"/>
          <w:szCs w:val="20"/>
          <w:lang w:val="pt-BR"/>
        </w:rPr>
        <w:t xml:space="preserve">§ 2º - </w:t>
      </w:r>
      <w:r w:rsidRPr="6AFB895A" w:rsidR="26D21A50">
        <w:rPr>
          <w:b w:val="1"/>
          <w:bCs w:val="1"/>
          <w:sz w:val="20"/>
          <w:szCs w:val="20"/>
          <w:lang w:val="pt-BR"/>
        </w:rPr>
        <w:t>A Dívida Ativa da Fazenda Pública, compreendendo a tributária e a não tributária, abrange atualização monetária, juros e multa de mora e demais encargos previstos em lei ou contrato</w:t>
      </w:r>
      <w:r w:rsidRPr="6AFB895A" w:rsidR="26D21A50">
        <w:rPr>
          <w:sz w:val="20"/>
          <w:szCs w:val="20"/>
          <w:lang w:val="pt-BR"/>
        </w:rPr>
        <w:t>."</w:t>
      </w:r>
    </w:p>
    <w:p w:rsidR="26D21A50" w:rsidP="6AFB895A" w:rsidRDefault="26D21A50" w14:paraId="2ED3C8CE">
      <w:pPr>
        <w:spacing w:after="240" w:line="360" w:lineRule="auto"/>
        <w:ind w:left="1276"/>
        <w:jc w:val="both"/>
        <w:rPr>
          <w:sz w:val="20"/>
          <w:szCs w:val="20"/>
          <w:lang w:val="pt-BR"/>
        </w:rPr>
      </w:pPr>
      <w:r w:rsidRPr="6AFB895A" w:rsidR="26D21A50">
        <w:rPr>
          <w:sz w:val="20"/>
          <w:szCs w:val="20"/>
          <w:lang w:val="pt-BR"/>
        </w:rPr>
        <w:t xml:space="preserve"> </w:t>
      </w:r>
    </w:p>
    <w:p w:rsidR="26D21A50" w:rsidP="6AFB895A" w:rsidRDefault="26D21A50" w14:paraId="2040435F" w14:textId="381ADB13">
      <w:pPr>
        <w:spacing w:line="360" w:lineRule="auto"/>
        <w:ind w:left="1276"/>
        <w:jc w:val="both"/>
        <w:rPr>
          <w:sz w:val="20"/>
          <w:szCs w:val="20"/>
          <w:lang w:val="pt-BR"/>
        </w:rPr>
      </w:pPr>
      <w:r w:rsidRPr="6AFB895A" w:rsidR="26D21A50">
        <w:rPr>
          <w:b w:val="1"/>
          <w:bCs w:val="1"/>
          <w:sz w:val="20"/>
          <w:szCs w:val="20"/>
          <w:lang w:val="pt-BR"/>
        </w:rPr>
        <w:t>Lei nº 9.430/1996</w:t>
      </w:r>
    </w:p>
    <w:p w:rsidR="26D21A50" w:rsidP="6AFB895A" w:rsidRDefault="26D21A50" w14:paraId="40A0F8CC" w14:textId="3E88D347">
      <w:pPr>
        <w:spacing w:line="360" w:lineRule="auto"/>
        <w:ind w:left="1276"/>
        <w:jc w:val="both"/>
        <w:rPr>
          <w:sz w:val="20"/>
          <w:szCs w:val="20"/>
          <w:lang w:val="pt-BR"/>
        </w:rPr>
      </w:pPr>
      <w:r w:rsidRPr="6AFB895A" w:rsidR="26D21A50">
        <w:rPr>
          <w:sz w:val="20"/>
          <w:szCs w:val="20"/>
          <w:lang w:val="pt-BR"/>
        </w:rPr>
        <w:t xml:space="preserve"> "Art. 5º ...</w:t>
      </w:r>
    </w:p>
    <w:p w:rsidR="26D21A50" w:rsidP="6AFB895A" w:rsidRDefault="26D21A50" w14:paraId="6B4E58C1">
      <w:pPr>
        <w:spacing w:line="360" w:lineRule="auto"/>
        <w:ind w:left="1276"/>
        <w:jc w:val="both"/>
        <w:rPr>
          <w:sz w:val="20"/>
          <w:szCs w:val="20"/>
          <w:lang w:val="pt-BR"/>
        </w:rPr>
      </w:pPr>
      <w:r w:rsidRPr="6AFB895A" w:rsidR="26D21A50">
        <w:rPr>
          <w:sz w:val="20"/>
          <w:szCs w:val="20"/>
          <w:lang w:val="pt-BR"/>
        </w:rPr>
        <w:t>...</w:t>
      </w:r>
    </w:p>
    <w:p w:rsidR="26D21A50" w:rsidP="6AFB895A" w:rsidRDefault="26D21A50" w14:paraId="2E6FFDFB">
      <w:pPr>
        <w:spacing w:line="360" w:lineRule="auto"/>
        <w:ind w:left="1276"/>
        <w:jc w:val="both"/>
        <w:rPr>
          <w:sz w:val="20"/>
          <w:szCs w:val="20"/>
          <w:lang w:val="pt-BR"/>
        </w:rPr>
      </w:pPr>
      <w:r w:rsidRPr="6AFB895A" w:rsidR="26D21A50">
        <w:rPr>
          <w:sz w:val="20"/>
          <w:szCs w:val="20"/>
          <w:lang w:val="pt-BR"/>
        </w:rPr>
        <w:t xml:space="preserve">§ 3º As quotas do imposto </w:t>
      </w:r>
      <w:r w:rsidRPr="6AFB895A" w:rsidR="26D21A50">
        <w:rPr>
          <w:b w:val="1"/>
          <w:bCs w:val="1"/>
          <w:sz w:val="20"/>
          <w:szCs w:val="20"/>
          <w:lang w:val="pt-BR"/>
        </w:rPr>
        <w:t>serão acrescidas de juros equivalentes à taxa referencial do Sistema Especial de Liquidação e Custódia - SELIC, para títulos federais, acumulada mensalmente, calculados a partir do primeiro dia do segundo mês subseqüente ao do encerramento do período de apuração até o último dia do mês anterior ao do pagamento e de um por cento no mês do pagamento</w:t>
      </w:r>
      <w:r w:rsidRPr="6AFB895A" w:rsidR="26D21A50">
        <w:rPr>
          <w:sz w:val="20"/>
          <w:szCs w:val="20"/>
          <w:lang w:val="pt-BR"/>
        </w:rPr>
        <w:t>.</w:t>
      </w:r>
    </w:p>
    <w:p w:rsidR="26D21A50" w:rsidP="6AFB895A" w:rsidRDefault="26D21A50" w14:paraId="18C346CB">
      <w:pPr>
        <w:spacing w:line="360" w:lineRule="auto"/>
        <w:ind w:left="1276"/>
        <w:jc w:val="both"/>
        <w:rPr>
          <w:sz w:val="20"/>
          <w:szCs w:val="20"/>
          <w:lang w:val="pt-BR"/>
        </w:rPr>
      </w:pPr>
      <w:r w:rsidRPr="6AFB895A" w:rsidR="26D21A50">
        <w:rPr>
          <w:sz w:val="20"/>
          <w:szCs w:val="20"/>
          <w:lang w:val="pt-BR"/>
        </w:rPr>
        <w:t>...</w:t>
      </w:r>
    </w:p>
    <w:p w:rsidR="26D21A50" w:rsidP="6AFB895A" w:rsidRDefault="26D21A50" w14:paraId="686D2386">
      <w:pPr>
        <w:spacing w:line="360" w:lineRule="auto"/>
        <w:ind w:left="1276"/>
        <w:jc w:val="both"/>
        <w:rPr>
          <w:sz w:val="20"/>
          <w:szCs w:val="20"/>
          <w:lang w:val="pt-BR"/>
        </w:rPr>
      </w:pPr>
      <w:r w:rsidRPr="6AFB895A" w:rsidR="26D21A50">
        <w:rPr>
          <w:sz w:val="20"/>
          <w:szCs w:val="20"/>
          <w:lang w:val="pt-BR"/>
        </w:rPr>
        <w:t xml:space="preserve">Art. 61. Os débitos para com a União, decorrentes de tributos e contribuições administrados pela Secretaria da Receita Federal, cujos fatos geradores ocorrerem a partir de 1º de janeiro de 1997, </w:t>
      </w:r>
      <w:r w:rsidRPr="6AFB895A" w:rsidR="26D21A50">
        <w:rPr>
          <w:b w:val="1"/>
          <w:bCs w:val="1"/>
          <w:sz w:val="20"/>
          <w:szCs w:val="20"/>
          <w:lang w:val="pt-BR"/>
        </w:rPr>
        <w:t>não pagos nos prazos previstos na legislação específica, serão acrescidos de multa de mora, calculada à taxa de trinta e três centésimos por cento, por dia de atraso</w:t>
      </w:r>
      <w:r w:rsidRPr="6AFB895A" w:rsidR="26D21A50">
        <w:rPr>
          <w:sz w:val="20"/>
          <w:szCs w:val="20"/>
          <w:lang w:val="pt-BR"/>
        </w:rPr>
        <w:t>. (Vide Decreto nº 7.212, de 2010)</w:t>
      </w:r>
    </w:p>
    <w:p w:rsidR="26D21A50" w:rsidP="6AFB895A" w:rsidRDefault="26D21A50" w14:paraId="1F4A3684">
      <w:pPr>
        <w:spacing w:line="360" w:lineRule="auto"/>
        <w:ind w:left="1276"/>
        <w:jc w:val="both"/>
        <w:rPr>
          <w:sz w:val="20"/>
          <w:szCs w:val="20"/>
          <w:lang w:val="pt-BR"/>
        </w:rPr>
      </w:pPr>
      <w:r w:rsidRPr="6AFB895A" w:rsidR="26D21A50">
        <w:rPr>
          <w:sz w:val="20"/>
          <w:szCs w:val="20"/>
          <w:lang w:val="pt-BR"/>
        </w:rPr>
        <w:t>§ 1º A multa de que trata este artigo será calculada a partir do primeiro dia subseqüente ao do vencimento do prazo previsto para o pagamento do tributo ou da contribuição até o dia em que ocorrer o seu  pagamento.</w:t>
      </w:r>
    </w:p>
    <w:p w:rsidR="26D21A50" w:rsidP="6AFB895A" w:rsidRDefault="26D21A50" w14:paraId="7A48C6DF">
      <w:pPr>
        <w:spacing w:line="360" w:lineRule="auto"/>
        <w:ind w:left="1276"/>
        <w:jc w:val="both"/>
        <w:rPr>
          <w:sz w:val="20"/>
          <w:szCs w:val="20"/>
          <w:lang w:val="pt-BR"/>
        </w:rPr>
      </w:pPr>
      <w:r w:rsidRPr="6AFB895A" w:rsidR="26D21A50">
        <w:rPr>
          <w:sz w:val="20"/>
          <w:szCs w:val="20"/>
          <w:lang w:val="pt-BR"/>
        </w:rPr>
        <w:t>§ 2º O percentual de multa a ser aplicado fica limitado a vinte por cento.</w:t>
      </w:r>
    </w:p>
    <w:p w:rsidR="26D21A50" w:rsidP="6AFB895A" w:rsidRDefault="26D21A50" w14:paraId="2B5A22E4">
      <w:pPr>
        <w:spacing w:line="360" w:lineRule="auto"/>
        <w:ind w:left="1276"/>
        <w:jc w:val="both"/>
        <w:rPr>
          <w:sz w:val="20"/>
          <w:szCs w:val="20"/>
          <w:lang w:val="pt-BR"/>
        </w:rPr>
      </w:pPr>
      <w:r w:rsidRPr="6AFB895A" w:rsidR="26D21A50">
        <w:rPr>
          <w:sz w:val="20"/>
          <w:szCs w:val="20"/>
          <w:lang w:val="pt-BR"/>
        </w:rPr>
        <w:t xml:space="preserve">§ 3º </w:t>
      </w:r>
      <w:r w:rsidRPr="6AFB895A" w:rsidR="26D21A50">
        <w:rPr>
          <w:b w:val="1"/>
          <w:bCs w:val="1"/>
          <w:sz w:val="20"/>
          <w:szCs w:val="20"/>
          <w:lang w:val="pt-BR"/>
        </w:rPr>
        <w:t>Sobre os débitos a que se refere este artigo incidirão juros de mora calculados à taxa a que se refere o § 3º do art. 5º, a partir do primeiro dia do mês subseqüente ao vencimento do prazo até o mês anterior ao do pagamento e de um por cento no mês de pagamento</w:t>
      </w:r>
      <w:r w:rsidRPr="6AFB895A" w:rsidR="26D21A50">
        <w:rPr>
          <w:sz w:val="20"/>
          <w:szCs w:val="20"/>
          <w:lang w:val="pt-BR"/>
        </w:rPr>
        <w:t>.  (Vide Medida Provisória nº 1.725, de 1998) (Vide Lei nº 9.716, de 1998)"</w:t>
      </w:r>
    </w:p>
    <w:p w:rsidR="26D21A50" w:rsidP="6AFB895A" w:rsidRDefault="26D21A50" w14:paraId="20B4A282">
      <w:pPr>
        <w:spacing w:after="240" w:line="360" w:lineRule="auto"/>
        <w:ind w:left="1276"/>
        <w:jc w:val="both"/>
        <w:rPr>
          <w:sz w:val="20"/>
          <w:szCs w:val="20"/>
          <w:lang w:val="pt-BR"/>
        </w:rPr>
      </w:pPr>
      <w:r w:rsidRPr="6AFB895A" w:rsidR="26D21A50">
        <w:rPr>
          <w:sz w:val="20"/>
          <w:szCs w:val="20"/>
          <w:lang w:val="pt-BR"/>
        </w:rPr>
        <w:t xml:space="preserve"> </w:t>
      </w:r>
    </w:p>
    <w:p w:rsidR="26D21A50" w:rsidP="6AFB895A" w:rsidRDefault="26D21A50" w14:paraId="77864513" w14:textId="79533DC4">
      <w:pPr>
        <w:spacing w:after="240" w:line="360" w:lineRule="auto"/>
        <w:ind w:left="1276"/>
        <w:jc w:val="both"/>
        <w:rPr>
          <w:b w:val="1"/>
          <w:bCs w:val="1"/>
          <w:sz w:val="20"/>
          <w:szCs w:val="20"/>
          <w:lang w:val="pt-BR"/>
        </w:rPr>
      </w:pPr>
      <w:r w:rsidRPr="6AFB895A" w:rsidR="26D21A50">
        <w:rPr>
          <w:b w:val="1"/>
          <w:bCs w:val="1"/>
          <w:sz w:val="20"/>
          <w:szCs w:val="20"/>
          <w:lang w:val="pt-BR"/>
        </w:rPr>
        <w:t>Lei nº 10.522, de 2002</w:t>
      </w:r>
    </w:p>
    <w:p w:rsidR="26D21A50" w:rsidP="6AFB895A" w:rsidRDefault="26D21A50" w14:paraId="554B69C1" w14:textId="09758E8E">
      <w:pPr>
        <w:spacing w:after="240" w:line="360" w:lineRule="auto"/>
        <w:ind w:left="1276"/>
        <w:jc w:val="both"/>
        <w:rPr>
          <w:sz w:val="20"/>
          <w:szCs w:val="20"/>
          <w:lang w:val="pt-BR"/>
        </w:rPr>
      </w:pPr>
      <w:r w:rsidRPr="6AFB895A" w:rsidR="26D21A50">
        <w:rPr>
          <w:sz w:val="20"/>
          <w:szCs w:val="20"/>
          <w:lang w:val="pt-BR"/>
        </w:rPr>
        <w:t xml:space="preserve"> "Art. 37-A.  </w:t>
      </w:r>
      <w:r w:rsidRPr="6AFB895A" w:rsidR="26D21A50">
        <w:rPr>
          <w:b w:val="1"/>
          <w:bCs w:val="1"/>
          <w:sz w:val="20"/>
          <w:szCs w:val="20"/>
          <w:lang w:val="pt-BR"/>
        </w:rPr>
        <w:t>Os créditos das autarquias e fundações públicas federais, de qualquer natureza, não pagos nos prazos previstos na legislação, serão acrescidos de juros e multa de mora, calculados nos termos e na forma da legislação aplicável aos tributos federais</w:t>
      </w:r>
      <w:r w:rsidRPr="6AFB895A" w:rsidR="26D21A50">
        <w:rPr>
          <w:sz w:val="20"/>
          <w:szCs w:val="20"/>
          <w:lang w:val="pt-BR"/>
        </w:rPr>
        <w:t>. (Incluído pela Lei nº 11.941, de 2009)</w:t>
      </w:r>
    </w:p>
    <w:p w:rsidR="26D21A50" w:rsidP="6AFB895A" w:rsidRDefault="26D21A50" w14:paraId="6FD3D266">
      <w:pPr>
        <w:spacing w:after="240" w:line="360" w:lineRule="auto"/>
        <w:ind w:left="1276"/>
        <w:jc w:val="both"/>
        <w:rPr>
          <w:sz w:val="20"/>
          <w:szCs w:val="20"/>
          <w:lang w:val="pt-BR"/>
        </w:rPr>
      </w:pPr>
      <w:r w:rsidRPr="6AFB895A" w:rsidR="26D21A50">
        <w:rPr>
          <w:sz w:val="20"/>
          <w:szCs w:val="20"/>
          <w:lang w:val="pt-BR"/>
        </w:rPr>
        <w:t xml:space="preserve">§ 1o  </w:t>
      </w:r>
      <w:r w:rsidRPr="6AFB895A" w:rsidR="26D21A50">
        <w:rPr>
          <w:b w:val="1"/>
          <w:bCs w:val="1"/>
          <w:sz w:val="20"/>
          <w:szCs w:val="20"/>
          <w:lang w:val="pt-BR"/>
        </w:rPr>
        <w:t>Os créditos inscritos em Dívida Ativa serão acrescidos de encargo legal, substitutivo da condenação do devedor em honorários advocatícios, calculado nos termos e na forma da legislação aplicável à Dívida Ativa da União</w:t>
      </w:r>
      <w:r w:rsidRPr="6AFB895A" w:rsidR="26D21A50">
        <w:rPr>
          <w:sz w:val="20"/>
          <w:szCs w:val="20"/>
          <w:lang w:val="pt-BR"/>
        </w:rPr>
        <w:t>. (Incluído pela Lei nº 11.941, de 2009)"</w:t>
      </w:r>
    </w:p>
    <w:p w:rsidR="6AFB895A" w:rsidP="6AFB895A" w:rsidRDefault="6AFB895A" w14:paraId="53ACA80E" w14:textId="25FFE18C">
      <w:pPr>
        <w:pStyle w:val="Normal"/>
        <w:spacing w:before="0" w:after="240" w:line="360" w:lineRule="auto"/>
        <w:ind w:left="0"/>
        <w:jc w:val="both"/>
        <w:rPr>
          <w:rFonts w:ascii="Times New Roman" w:hAnsi="Times New Roman" w:eastAsia="Times New Roman" w:cs="Times New Roman"/>
          <w:sz w:val="24"/>
          <w:szCs w:val="24"/>
          <w:lang w:val="pt-BR"/>
        </w:rPr>
      </w:pPr>
    </w:p>
    <w:p w:rsidR="26D21A50" w:rsidP="6AFB895A" w:rsidRDefault="26D21A50" w14:paraId="47B337F0" w14:textId="663ADF0F">
      <w:pPr>
        <w:pStyle w:val="ListParagraph"/>
        <w:numPr>
          <w:ilvl w:val="0"/>
          <w:numId w:val="5"/>
        </w:numPr>
        <w:spacing w:before="0" w:after="240" w:line="360" w:lineRule="auto"/>
        <w:ind w:left="0" w:firstLine="0"/>
        <w:jc w:val="both"/>
        <w:rPr>
          <w:sz w:val="24"/>
          <w:szCs w:val="24"/>
          <w:lang w:val="pt-BR"/>
        </w:rPr>
      </w:pPr>
      <w:r w:rsidRPr="6AFB895A" w:rsidR="26D21A50">
        <w:rPr>
          <w:sz w:val="24"/>
          <w:szCs w:val="24"/>
          <w:lang w:val="pt-BR"/>
        </w:rPr>
        <w:t>Ante as determinações cogentes da legislação, a área técnica da Requerida 1 apresenta planilha detalhada sobre os valores de multas devidos à data de 31/05/2021 (</w:t>
      </w:r>
      <w:r w:rsidRPr="6AFB895A" w:rsidR="26D21A50">
        <w:rPr>
          <w:sz w:val="24"/>
          <w:szCs w:val="24"/>
          <w:highlight w:val="yellow"/>
          <w:lang w:val="pt-BR"/>
        </w:rPr>
        <w:t>Doc. R1-30</w:t>
      </w:r>
      <w:r w:rsidRPr="6AFB895A" w:rsidR="26D21A50">
        <w:rPr>
          <w:sz w:val="24"/>
          <w:szCs w:val="24"/>
          <w:lang w:val="pt-BR"/>
        </w:rPr>
        <w:t>) e de verbas de fiscalização atualizadas até 26/02/2021 (</w:t>
      </w:r>
      <w:r w:rsidRPr="6AFB895A" w:rsidR="26D21A50">
        <w:rPr>
          <w:sz w:val="24"/>
          <w:szCs w:val="24"/>
          <w:highlight w:val="yellow"/>
          <w:lang w:val="pt-BR"/>
        </w:rPr>
        <w:t>Doc. R1-31</w:t>
      </w:r>
      <w:r w:rsidRPr="6AFB895A" w:rsidR="26D21A50">
        <w:rPr>
          <w:sz w:val="24"/>
          <w:szCs w:val="24"/>
          <w:lang w:val="pt-BR"/>
        </w:rPr>
        <w:t xml:space="preserve">). </w:t>
      </w:r>
    </w:p>
    <w:p w:rsidR="6AFB895A" w:rsidP="6AFB895A" w:rsidRDefault="6AFB895A" w14:paraId="4B406F07">
      <w:pPr>
        <w:pStyle w:val="ListParagraph"/>
        <w:spacing w:before="0" w:after="240" w:line="360" w:lineRule="auto"/>
        <w:ind w:left="0" w:firstLine="0"/>
        <w:jc w:val="both"/>
        <w:rPr>
          <w:sz w:val="24"/>
          <w:szCs w:val="24"/>
          <w:lang w:val="pt-BR"/>
        </w:rPr>
      </w:pPr>
    </w:p>
    <w:p w:rsidR="2397B291" w:rsidP="6AFB895A" w:rsidRDefault="2397B291" w14:paraId="6E15E3EB" w14:textId="174CEFFF">
      <w:pPr>
        <w:pStyle w:val="ListParagraph"/>
        <w:shd w:val="clear" w:color="auto" w:fill="D9D9D9" w:themeFill="background1" w:themeFillShade="D9"/>
        <w:spacing w:before="0" w:after="240" w:line="360" w:lineRule="auto"/>
        <w:ind w:left="0" w:firstLine="0"/>
        <w:jc w:val="center"/>
        <w:rPr>
          <w:b w:val="1"/>
          <w:bCs w:val="1"/>
          <w:sz w:val="24"/>
          <w:szCs w:val="24"/>
          <w:lang w:val="pt-BR"/>
        </w:rPr>
      </w:pPr>
      <w:r w:rsidRPr="6AFB895A" w:rsidR="2397B291">
        <w:rPr>
          <w:b w:val="1"/>
          <w:bCs w:val="1"/>
          <w:sz w:val="24"/>
          <w:szCs w:val="24"/>
          <w:lang w:val="pt-BR"/>
        </w:rPr>
        <w:t>NECESSIDADE DE ATUALIZAÇÃO DOS VALORES NO MOMENTO DE EVENTUAL DESCONTO</w:t>
      </w:r>
    </w:p>
    <w:p w:rsidR="2397B291" w:rsidP="6AFB895A" w:rsidRDefault="2397B291" w14:paraId="17BDA8DD" w14:textId="23D53D8D">
      <w:pPr>
        <w:pStyle w:val="ListParagraph"/>
        <w:numPr>
          <w:ilvl w:val="0"/>
          <w:numId w:val="5"/>
        </w:numPr>
        <w:spacing w:before="0" w:after="240" w:line="360" w:lineRule="auto"/>
        <w:ind w:left="0" w:firstLine="0"/>
        <w:jc w:val="both"/>
        <w:rPr>
          <w:rFonts w:ascii="Times New Roman" w:hAnsi="Times New Roman" w:eastAsia="Times New Roman" w:cs="Times New Roman" w:asciiTheme="minorAscii" w:hAnsiTheme="minorAscii" w:eastAsiaTheme="minorAscii" w:cstheme="minorAscii"/>
          <w:sz w:val="24"/>
          <w:szCs w:val="24"/>
          <w:lang w:val="pt-BR"/>
        </w:rPr>
      </w:pPr>
      <w:r w:rsidRPr="6AFB895A" w:rsidR="2397B291">
        <w:rPr>
          <w:sz w:val="24"/>
          <w:szCs w:val="24"/>
          <w:lang w:val="pt-BR"/>
        </w:rPr>
        <w:t xml:space="preserve">Delineadas todas as questões subjacentes aos valores que deverão compor o montante o desconto de eventual indenização devida à Requerente, </w:t>
      </w:r>
      <w:r w:rsidRPr="6AFB895A" w:rsidR="2397B291">
        <w:rPr>
          <w:b w:val="1"/>
          <w:bCs w:val="1"/>
          <w:sz w:val="24"/>
          <w:szCs w:val="24"/>
          <w:u w:val="single"/>
          <w:lang w:val="pt-BR"/>
        </w:rPr>
        <w:t xml:space="preserve">haja vista se </w:t>
      </w:r>
      <w:proofErr w:type="gramStart"/>
      <w:r w:rsidRPr="6AFB895A" w:rsidR="2397B291">
        <w:rPr>
          <w:b w:val="1"/>
          <w:bCs w:val="1"/>
          <w:sz w:val="24"/>
          <w:szCs w:val="24"/>
          <w:u w:val="single"/>
          <w:lang w:val="pt-BR"/>
        </w:rPr>
        <w:t>tratarem</w:t>
      </w:r>
      <w:proofErr w:type="gramEnd"/>
      <w:r w:rsidRPr="6AFB895A" w:rsidR="2397B291">
        <w:rPr>
          <w:b w:val="1"/>
          <w:bCs w:val="1"/>
          <w:sz w:val="24"/>
          <w:szCs w:val="24"/>
          <w:u w:val="single"/>
          <w:lang w:val="pt-BR"/>
        </w:rPr>
        <w:t xml:space="preserve"> de valores não quitados</w:t>
      </w:r>
      <w:r w:rsidRPr="6AFB895A" w:rsidR="2397B291">
        <w:rPr>
          <w:sz w:val="24"/>
          <w:szCs w:val="24"/>
          <w:lang w:val="pt-BR"/>
        </w:rPr>
        <w:t>, abaixo são apresentadas algumas considerações sobre alguns dos montantes apurados pelas Requeridas, conforme processos administrativos que foram anexados à presente manifestação (</w:t>
      </w:r>
      <w:r w:rsidRPr="6AFB895A" w:rsidR="2397B291">
        <w:rPr>
          <w:sz w:val="24"/>
          <w:szCs w:val="24"/>
          <w:highlight w:val="yellow"/>
          <w:lang w:val="pt-BR"/>
        </w:rPr>
        <w:t>R1xx a R1xx</w:t>
      </w:r>
      <w:r w:rsidRPr="6AFB895A" w:rsidR="2397B291">
        <w:rPr>
          <w:sz w:val="24"/>
          <w:szCs w:val="24"/>
          <w:lang w:val="pt-BR"/>
        </w:rPr>
        <w:t xml:space="preserve">).  </w:t>
      </w:r>
    </w:p>
    <w:p w:rsidR="2397B291" w:rsidP="6AFB895A" w:rsidRDefault="2397B291" w14:paraId="636C5C3B" w14:textId="63D55DEB">
      <w:pPr>
        <w:pStyle w:val="ListParagraph"/>
        <w:numPr>
          <w:ilvl w:val="0"/>
          <w:numId w:val="5"/>
        </w:numPr>
        <w:spacing w:before="0" w:after="240" w:line="360" w:lineRule="auto"/>
        <w:ind w:left="0" w:firstLine="0"/>
        <w:jc w:val="both"/>
        <w:rPr>
          <w:sz w:val="24"/>
          <w:szCs w:val="24"/>
          <w:lang w:val="pt-BR"/>
        </w:rPr>
      </w:pPr>
      <w:r w:rsidRPr="6AFB895A" w:rsidR="2397B291">
        <w:rPr>
          <w:sz w:val="24"/>
          <w:szCs w:val="24"/>
          <w:lang w:val="pt-BR"/>
        </w:rPr>
        <w:t>De acordo com as manifestações da área técnica da ANTT (</w:t>
      </w:r>
      <w:r w:rsidRPr="6AFB895A" w:rsidR="2397B291">
        <w:rPr>
          <w:sz w:val="24"/>
          <w:szCs w:val="24"/>
          <w:highlight w:val="yellow"/>
          <w:lang w:val="pt-BR"/>
        </w:rPr>
        <w:t>R1-30 e R1-31</w:t>
      </w:r>
      <w:r w:rsidRPr="6AFB895A" w:rsidR="2397B291">
        <w:rPr>
          <w:sz w:val="24"/>
          <w:szCs w:val="24"/>
          <w:lang w:val="pt-BR"/>
        </w:rPr>
        <w:t>), os valores, consolidados, devidos a título de multas totalizam R$ 71.249.867,51 (setenta e um milhões, duzentos e quarenta e nove mil, oitocentos e sessenta e sete reais e cinquenta e um centavos) e os valores devidos a título de verbas de fiscalização somam o montante de R$ 27.774.488,02 (vinte e sete milhões, setecentos e setenta e quatro mil, quatrocentos e oitenta e oito reais e dois centavos).</w:t>
      </w:r>
    </w:p>
    <w:p w:rsidR="6F6323BC" w:rsidP="6AFB895A" w:rsidRDefault="6F6323BC" w14:paraId="7C7765E4" w14:textId="0D67F4EA">
      <w:pPr>
        <w:pStyle w:val="ListParagraph"/>
        <w:numPr>
          <w:ilvl w:val="0"/>
          <w:numId w:val="5"/>
        </w:numPr>
        <w:spacing w:before="0" w:after="240" w:line="360" w:lineRule="auto"/>
        <w:ind w:left="0" w:firstLine="0"/>
        <w:jc w:val="both"/>
        <w:rPr>
          <w:rFonts w:ascii="Times New Roman" w:hAnsi="Times New Roman" w:eastAsia="Times New Roman" w:cs="Times New Roman" w:asciiTheme="minorAscii" w:hAnsiTheme="minorAscii" w:eastAsiaTheme="minorAscii" w:cstheme="minorAscii"/>
          <w:sz w:val="24"/>
          <w:szCs w:val="24"/>
          <w:lang w:val="pt-BR"/>
        </w:rPr>
      </w:pPr>
      <w:r w:rsidRPr="6AFB895A" w:rsidR="6F6323BC">
        <w:rPr>
          <w:sz w:val="24"/>
          <w:szCs w:val="24"/>
          <w:lang w:val="pt-BR"/>
        </w:rPr>
        <w:t xml:space="preserve">Esses valores compreendem a atualização </w:t>
      </w:r>
      <w:r w:rsidRPr="6AFB895A" w:rsidR="6F6323BC">
        <w:rPr>
          <w:b w:val="1"/>
          <w:bCs w:val="1"/>
          <w:sz w:val="24"/>
          <w:szCs w:val="24"/>
          <w:u w:val="single"/>
          <w:lang w:val="pt-BR"/>
        </w:rPr>
        <w:t>momentânea</w:t>
      </w:r>
      <w:r w:rsidRPr="6AFB895A" w:rsidR="6F6323BC">
        <w:rPr>
          <w:sz w:val="24"/>
          <w:szCs w:val="24"/>
          <w:lang w:val="pt-BR"/>
        </w:rPr>
        <w:t>, nos termos indicados no item acima, dos valores referentes aos 34 processos administrativos e dos valores referentes às parcelas de verba de fiscalização não pagas enquanto vigente o Contrato de Concessão, indicados no Despacho da área técnica da ANTT proferido em 08 de fevereiro de 2021 (R1-29).</w:t>
      </w:r>
    </w:p>
    <w:p w:rsidR="6F6323BC" w:rsidP="6AFB895A" w:rsidRDefault="6F6323BC" w14:paraId="5DC6A531" w14:textId="7869ADD5">
      <w:pPr>
        <w:pStyle w:val="ListParagraph"/>
        <w:numPr>
          <w:ilvl w:val="0"/>
          <w:numId w:val="5"/>
        </w:numPr>
        <w:spacing w:before="0" w:after="240" w:line="360" w:lineRule="auto"/>
        <w:ind w:left="0" w:firstLine="0"/>
        <w:jc w:val="both"/>
        <w:rPr>
          <w:sz w:val="24"/>
          <w:szCs w:val="24"/>
          <w:lang w:val="pt-BR"/>
        </w:rPr>
      </w:pPr>
      <w:r w:rsidRPr="6AFB895A" w:rsidR="6F6323BC">
        <w:rPr>
          <w:sz w:val="24"/>
          <w:szCs w:val="24"/>
          <w:lang w:val="pt-BR"/>
        </w:rPr>
        <w:t>Cabe pontuar que, como visto alhures, até eventual extinção do crédito devido, seja por pagamento ou por desconto em eventual indenização, a legislação impõe o incremento legal de valores dos débitos inadimplidos.</w:t>
      </w:r>
    </w:p>
    <w:p w:rsidR="6F6323BC" w:rsidP="6AFB895A" w:rsidRDefault="6F6323BC" w14:paraId="00A9A419" w14:textId="5DDB8649">
      <w:pPr>
        <w:pStyle w:val="ListParagraph"/>
        <w:numPr>
          <w:ilvl w:val="0"/>
          <w:numId w:val="5"/>
        </w:numPr>
        <w:spacing w:before="0" w:after="240" w:line="360" w:lineRule="auto"/>
        <w:ind w:left="0" w:firstLine="0"/>
        <w:jc w:val="both"/>
        <w:rPr>
          <w:rFonts w:ascii="Times New Roman" w:hAnsi="Times New Roman" w:eastAsia="Times New Roman" w:cs="Times New Roman" w:asciiTheme="minorAscii" w:hAnsiTheme="minorAscii" w:eastAsiaTheme="minorAscii" w:cstheme="minorAscii"/>
          <w:sz w:val="24"/>
          <w:szCs w:val="24"/>
          <w:lang w:val="pt-BR"/>
        </w:rPr>
      </w:pPr>
      <w:r w:rsidRPr="6AFB895A" w:rsidR="6F6323BC">
        <w:rPr>
          <w:sz w:val="24"/>
          <w:szCs w:val="24"/>
          <w:lang w:val="pt-BR"/>
        </w:rPr>
        <w:t>Essa nova atualização dos valores está explicada detidamente em Despacho da área técnica da ANTT de 26 de maio de 2021 – DESPACHO SUROD 6460284 (</w:t>
      </w:r>
      <w:r w:rsidRPr="6AFB895A" w:rsidR="6F6323BC">
        <w:rPr>
          <w:sz w:val="24"/>
          <w:szCs w:val="24"/>
          <w:highlight w:val="yellow"/>
          <w:lang w:val="pt-BR"/>
        </w:rPr>
        <w:t>R1-32</w:t>
      </w:r>
      <w:r w:rsidRPr="6AFB895A" w:rsidR="6F6323BC">
        <w:rPr>
          <w:sz w:val="24"/>
          <w:szCs w:val="24"/>
          <w:lang w:val="pt-BR"/>
        </w:rPr>
        <w:t>).</w:t>
      </w:r>
    </w:p>
    <w:p w:rsidR="6F6323BC" w:rsidP="6AFB895A" w:rsidRDefault="6F6323BC" w14:paraId="16B67198" w14:textId="152BA2A8">
      <w:pPr>
        <w:pStyle w:val="ListParagraph"/>
        <w:numPr>
          <w:ilvl w:val="0"/>
          <w:numId w:val="5"/>
        </w:numPr>
        <w:spacing w:before="0" w:after="240" w:line="360" w:lineRule="auto"/>
        <w:ind w:left="0" w:firstLine="0"/>
        <w:jc w:val="both"/>
        <w:rPr>
          <w:rFonts w:ascii="Times New Roman" w:hAnsi="Times New Roman" w:eastAsia="Times New Roman" w:cs="Times New Roman" w:asciiTheme="minorAscii" w:hAnsiTheme="minorAscii" w:eastAsiaTheme="minorAscii" w:cstheme="minorAscii"/>
          <w:sz w:val="24"/>
          <w:szCs w:val="24"/>
          <w:lang w:val="pt-BR"/>
        </w:rPr>
      </w:pPr>
      <w:r w:rsidRPr="6AFB895A" w:rsidR="6F6323BC">
        <w:rPr>
          <w:sz w:val="24"/>
          <w:szCs w:val="24"/>
          <w:lang w:val="pt-BR"/>
        </w:rPr>
        <w:t xml:space="preserve">Ali consta que no processo n° 50500.429409/2016-17, o valor da penalidade foi acrescido de encargos legais, a partir de sua inscrição na Dívida Ativa, ocorrida em </w:t>
      </w:r>
      <w:r w:rsidRPr="6AFB895A" w:rsidR="6F6323BC">
        <w:rPr>
          <w:sz w:val="24"/>
          <w:szCs w:val="24"/>
          <w:u w:val="single"/>
          <w:lang w:val="pt-BR"/>
        </w:rPr>
        <w:t>22 de março de 2021</w:t>
      </w:r>
      <w:r w:rsidRPr="6AFB895A" w:rsidR="6F6323BC">
        <w:rPr>
          <w:sz w:val="24"/>
          <w:szCs w:val="24"/>
          <w:lang w:val="pt-BR"/>
        </w:rPr>
        <w:t>. À época da apresentação do R1-29, em fevereiro de 2021, o referido crédito ainda não havia sido inscrito na Dívida Ativa. Esse valor consta no R1-29 como sendo R$ 625.888,02 e na tabela anexa a esta petição como sendo R$ 754.391,65, nos termos da atualização decorrente do estágio do crédito.</w:t>
      </w:r>
    </w:p>
    <w:p w:rsidR="0212B4C7" w:rsidP="6AFB895A" w:rsidRDefault="0212B4C7" w14:paraId="73E4C15B" w14:textId="5915CDEE">
      <w:pPr>
        <w:pStyle w:val="ListParagraph"/>
        <w:numPr>
          <w:ilvl w:val="0"/>
          <w:numId w:val="5"/>
        </w:numPr>
        <w:spacing w:before="0" w:after="240" w:line="360" w:lineRule="auto"/>
        <w:ind w:left="0" w:firstLine="0"/>
        <w:jc w:val="both"/>
        <w:rPr>
          <w:rFonts w:ascii="Times New Roman" w:hAnsi="Times New Roman" w:eastAsia="Times New Roman" w:cs="Times New Roman" w:asciiTheme="minorAscii" w:hAnsiTheme="minorAscii" w:eastAsiaTheme="minorAscii" w:cstheme="minorAscii"/>
          <w:sz w:val="24"/>
          <w:szCs w:val="24"/>
          <w:lang w:val="pt-BR"/>
        </w:rPr>
      </w:pPr>
      <w:r w:rsidRPr="6AFB895A" w:rsidR="0212B4C7">
        <w:rPr>
          <w:sz w:val="24"/>
          <w:szCs w:val="24"/>
          <w:lang w:val="pt-BR"/>
        </w:rPr>
        <w:t xml:space="preserve">Em outros dois processos os valores discutidos ainda não estão inscritos na Dívida Ativa, quais sejam, os Processos </w:t>
      </w:r>
      <w:proofErr w:type="spellStart"/>
      <w:r w:rsidRPr="6AFB895A" w:rsidR="0212B4C7">
        <w:rPr>
          <w:sz w:val="24"/>
          <w:szCs w:val="24"/>
          <w:lang w:val="pt-BR"/>
        </w:rPr>
        <w:t>n°s</w:t>
      </w:r>
      <w:proofErr w:type="spellEnd"/>
      <w:r w:rsidRPr="6AFB895A" w:rsidR="0212B4C7">
        <w:rPr>
          <w:sz w:val="24"/>
          <w:szCs w:val="24"/>
          <w:lang w:val="pt-BR"/>
        </w:rPr>
        <w:t xml:space="preserve"> 50500.329518/2016-35 e 50500.001610/2017-14. No primeiro, houve a interposição de pedido de reconsideração pela Requerente, cuja análise ainda está pendente pela Agência. No segundo processo, embora haja decisão definitiva, a sua inscrição em Dívida Ativa ainda depende da verificação de requisitos pela Agência. No processo n° 50500.329518/2016-35, inclusive, já houve uma alteração do valor indicado no R1-29 (R$ 10.000.000,00) em razão do acréscimo de juros e multa de mora pelo não pagamento da data de vencimento, motivo pelo qual seu valor passou a constar, na data-base de maio de 2021, como sendo R$ 12.141.000,00. Até a data da apresentação desta petição, os valores referentes a esses processos não foram inscritos em Dívida Ativa.</w:t>
      </w:r>
    </w:p>
    <w:p w:rsidR="7ED84D07" w:rsidP="224BE706" w:rsidRDefault="7ED84D07" w14:paraId="1EC6CDDC" w14:textId="7298C876">
      <w:pPr>
        <w:pStyle w:val="ListParagraph"/>
        <w:numPr>
          <w:ilvl w:val="0"/>
          <w:numId w:val="5"/>
        </w:numPr>
        <w:spacing w:before="0" w:after="240" w:line="360" w:lineRule="auto"/>
        <w:ind w:left="0" w:firstLine="0"/>
        <w:jc w:val="both"/>
        <w:rPr>
          <w:rFonts w:ascii="Calibri" w:hAnsi="Calibri" w:eastAsia="Calibri" w:cs="Calibri" w:asciiTheme="minorAscii" w:hAnsiTheme="minorAscii" w:eastAsiaTheme="minorAscii" w:cstheme="minorAscii"/>
          <w:sz w:val="24"/>
          <w:szCs w:val="24"/>
          <w:lang w:val="pt-BR"/>
        </w:rPr>
      </w:pPr>
      <w:r w:rsidRPr="224BE706" w:rsidR="7ED84D07">
        <w:rPr>
          <w:sz w:val="24"/>
          <w:szCs w:val="24"/>
          <w:lang w:val="pt-BR"/>
        </w:rPr>
        <w:t>Diante do quanto explanado acima, é curial deixar assente que os valores definitivos das multas e verbas de fiscalização devidas d</w:t>
      </w:r>
      <w:r w:rsidRPr="224BE706" w:rsidR="7ED84D07">
        <w:rPr>
          <w:sz w:val="24"/>
          <w:szCs w:val="24"/>
          <w:lang w:val="pt-BR"/>
        </w:rPr>
        <w:t>evem sofrer nova atualização ao tempo de eventual descont</w:t>
      </w:r>
      <w:r w:rsidRPr="224BE706" w:rsidR="7ED84D07">
        <w:rPr>
          <w:sz w:val="24"/>
          <w:szCs w:val="24"/>
          <w:lang w:val="pt-BR"/>
        </w:rPr>
        <w:t>o, levando em consideração o estágio do crédito e a incidência das normas em vigência</w:t>
      </w:r>
      <w:r w:rsidRPr="224BE706" w:rsidR="64915604">
        <w:rPr>
          <w:sz w:val="24"/>
          <w:szCs w:val="24"/>
          <w:lang w:val="pt-BR"/>
        </w:rPr>
        <w:t>.</w:t>
      </w:r>
    </w:p>
    <w:p w:rsidR="6AFB895A" w:rsidP="6AFB895A" w:rsidRDefault="6AFB895A" w14:paraId="6B9D6E94" w14:textId="68D8CE8A">
      <w:pPr>
        <w:pStyle w:val="Normal"/>
        <w:spacing w:before="0" w:after="240" w:line="360" w:lineRule="auto"/>
        <w:ind w:left="0"/>
        <w:jc w:val="both"/>
        <w:rPr>
          <w:rFonts w:ascii="Times New Roman" w:hAnsi="Times New Roman" w:eastAsia="Times New Roman" w:cs="Times New Roman"/>
          <w:sz w:val="24"/>
          <w:szCs w:val="24"/>
          <w:lang w:val="pt-BR"/>
        </w:rPr>
      </w:pPr>
    </w:p>
    <w:p w:rsidR="64915604" w:rsidP="6AFB895A" w:rsidRDefault="64915604" w14:paraId="3A219418" w14:textId="1557197E">
      <w:pPr>
        <w:pStyle w:val="ListParagraph"/>
        <w:shd w:val="clear" w:color="auto" w:fill="D9D9D9" w:themeFill="background1" w:themeFillShade="D9"/>
        <w:spacing w:before="0" w:after="240" w:line="360" w:lineRule="auto"/>
        <w:ind w:left="0" w:firstLine="0"/>
        <w:jc w:val="center"/>
        <w:rPr>
          <w:b w:val="1"/>
          <w:bCs w:val="1"/>
          <w:sz w:val="24"/>
          <w:szCs w:val="24"/>
          <w:lang w:val="pt-BR"/>
        </w:rPr>
      </w:pPr>
      <w:r w:rsidRPr="6AFB895A" w:rsidR="64915604">
        <w:rPr>
          <w:b w:val="1"/>
          <w:bCs w:val="1"/>
          <w:sz w:val="24"/>
          <w:szCs w:val="24"/>
          <w:lang w:val="pt-BR"/>
        </w:rPr>
        <w:t>DAS CONCLUSÕES E PEDIDOS</w:t>
      </w:r>
    </w:p>
    <w:p w:rsidR="6AFB895A" w:rsidP="6AFB895A" w:rsidRDefault="6AFB895A" w14:paraId="4C935CCA" w14:textId="4AABBC8A">
      <w:pPr>
        <w:pStyle w:val="Normal"/>
        <w:spacing w:before="0" w:after="240" w:line="360" w:lineRule="auto"/>
        <w:ind w:left="0" w:firstLine="0"/>
        <w:jc w:val="both"/>
        <w:rPr>
          <w:rFonts w:ascii="Times New Roman" w:hAnsi="Times New Roman" w:eastAsia="Times New Roman" w:cs="Times New Roman"/>
          <w:sz w:val="24"/>
          <w:szCs w:val="24"/>
          <w:lang w:val="pt-BR"/>
        </w:rPr>
      </w:pPr>
    </w:p>
    <w:p w:rsidR="64915604" w:rsidP="6AFB895A" w:rsidRDefault="64915604" w14:paraId="3ECF765B" w14:textId="1807923F">
      <w:pPr>
        <w:pStyle w:val="ListParagraph"/>
        <w:numPr>
          <w:ilvl w:val="0"/>
          <w:numId w:val="5"/>
        </w:numPr>
        <w:spacing w:before="0" w:after="240" w:line="360" w:lineRule="auto"/>
        <w:ind w:left="0" w:firstLine="0"/>
        <w:jc w:val="both"/>
        <w:rPr>
          <w:rFonts w:ascii="Times New Roman" w:hAnsi="Times New Roman" w:eastAsia="Times New Roman" w:cs="Times New Roman" w:asciiTheme="minorAscii" w:hAnsiTheme="minorAscii" w:eastAsiaTheme="minorAscii" w:cstheme="minorAscii"/>
          <w:sz w:val="24"/>
          <w:szCs w:val="24"/>
          <w:lang w:val="pt-BR"/>
        </w:rPr>
      </w:pPr>
      <w:r w:rsidRPr="6AFB895A" w:rsidR="64915604">
        <w:rPr>
          <w:rFonts w:ascii="Times New Roman" w:hAnsi="Times New Roman" w:eastAsia="Times New Roman" w:cs="Times New Roman"/>
          <w:sz w:val="24"/>
          <w:szCs w:val="24"/>
          <w:lang w:val="pt-BR"/>
        </w:rPr>
        <w:t xml:space="preserve">Ante o exposto, as requeridas requerem: </w:t>
      </w:r>
    </w:p>
    <w:p w:rsidR="6AFB895A" w:rsidP="6AFB895A" w:rsidRDefault="6AFB895A" w14:paraId="5C9FCD83" w14:textId="367C77A3">
      <w:pPr>
        <w:pStyle w:val="Normal"/>
        <w:spacing w:before="0" w:after="240" w:line="360" w:lineRule="auto"/>
        <w:jc w:val="both"/>
        <w:rPr>
          <w:rFonts w:ascii="Times New Roman" w:hAnsi="Times New Roman" w:eastAsia="Times New Roman" w:cs="Times New Roman"/>
          <w:sz w:val="24"/>
          <w:szCs w:val="24"/>
          <w:lang w:val="pt-BR"/>
        </w:rPr>
      </w:pPr>
    </w:p>
    <w:p w:rsidR="00030CEB" w:rsidP="6AFB895A" w:rsidRDefault="00030CEB" w14:paraId="67618B13" w14:textId="4B3052B2">
      <w:pPr>
        <w:pStyle w:val="Normal"/>
        <w:spacing w:before="0" w:after="240" w:line="360" w:lineRule="auto"/>
        <w:ind w:left="0"/>
        <w:jc w:val="both"/>
        <w:rPr>
          <w:sz w:val="24"/>
          <w:szCs w:val="24"/>
          <w:lang w:val="pt-BR"/>
        </w:rPr>
      </w:pPr>
    </w:p>
    <w:p w:rsidR="00030CEB" w:rsidP="0000350D" w:rsidRDefault="00030CEB" w14:paraId="25D61739" w14:textId="2CC55E2E">
      <w:pPr>
        <w:pStyle w:val="ListParagraph"/>
        <w:numPr>
          <w:ilvl w:val="0"/>
          <w:numId w:val="10"/>
        </w:numPr>
        <w:spacing w:before="0" w:after="240" w:line="360" w:lineRule="auto"/>
        <w:ind w:left="1418" w:firstLine="0"/>
        <w:jc w:val="both"/>
        <w:rPr>
          <w:sz w:val="24"/>
          <w:szCs w:val="24"/>
          <w:lang w:val="pt-BR"/>
        </w:rPr>
      </w:pPr>
      <w:r w:rsidRPr="00030CEB">
        <w:rPr>
          <w:sz w:val="24"/>
          <w:szCs w:val="24"/>
          <w:lang w:val="pt-BR"/>
        </w:rPr>
        <w:t xml:space="preserve">A juntada das cópias dos processos administrativos que embasaram a aplicação e posterior acréscimo ao cálculo das multas administrativas </w:t>
      </w:r>
      <w:r>
        <w:rPr>
          <w:sz w:val="24"/>
          <w:szCs w:val="24"/>
          <w:lang w:val="pt-BR"/>
        </w:rPr>
        <w:t>aplicadas pela ANTT</w:t>
      </w:r>
      <w:r w:rsidR="00CC2017">
        <w:rPr>
          <w:sz w:val="24"/>
          <w:szCs w:val="24"/>
          <w:lang w:val="pt-BR"/>
        </w:rPr>
        <w:t>, conforme indicados na Lista Atualizada de Documento anexada a essa manifestação</w:t>
      </w:r>
      <w:r w:rsidR="00BC1AE2">
        <w:rPr>
          <w:sz w:val="24"/>
          <w:szCs w:val="24"/>
          <w:lang w:val="pt-BR"/>
        </w:rPr>
        <w:t xml:space="preserve"> (</w:t>
      </w:r>
      <w:r w:rsidRPr="00F57052" w:rsidR="00BC1AE2">
        <w:rPr>
          <w:sz w:val="24"/>
          <w:szCs w:val="24"/>
          <w:highlight w:val="yellow"/>
          <w:lang w:val="pt-BR"/>
        </w:rPr>
        <w:t>R1</w:t>
      </w:r>
      <w:r w:rsidR="00BC1AE2">
        <w:rPr>
          <w:sz w:val="24"/>
          <w:szCs w:val="24"/>
          <w:highlight w:val="yellow"/>
          <w:lang w:val="pt-BR"/>
        </w:rPr>
        <w:t>xx</w:t>
      </w:r>
      <w:r w:rsidRPr="00F57052" w:rsidR="00BC1AE2">
        <w:rPr>
          <w:sz w:val="24"/>
          <w:szCs w:val="24"/>
          <w:highlight w:val="yellow"/>
          <w:lang w:val="pt-BR"/>
        </w:rPr>
        <w:t xml:space="preserve"> a </w:t>
      </w:r>
      <w:r w:rsidRPr="00AD2D5D" w:rsidR="00BC1AE2">
        <w:rPr>
          <w:sz w:val="24"/>
          <w:szCs w:val="24"/>
          <w:highlight w:val="yellow"/>
          <w:lang w:val="pt-BR"/>
        </w:rPr>
        <w:t>R1xx</w:t>
      </w:r>
      <w:r w:rsidR="00BC1AE2">
        <w:rPr>
          <w:sz w:val="24"/>
          <w:szCs w:val="24"/>
          <w:lang w:val="pt-BR"/>
        </w:rPr>
        <w:t>)</w:t>
      </w:r>
      <w:r>
        <w:rPr>
          <w:sz w:val="24"/>
          <w:szCs w:val="24"/>
          <w:lang w:val="pt-BR"/>
        </w:rPr>
        <w:t>; e</w:t>
      </w:r>
    </w:p>
    <w:p w:rsidRPr="00BC1AE2" w:rsidR="000411A2" w:rsidP="00BC1AE2" w:rsidRDefault="00CC2017" w14:paraId="5167CA9E" w14:textId="7C113869">
      <w:pPr>
        <w:pStyle w:val="ListParagraph"/>
        <w:numPr>
          <w:ilvl w:val="0"/>
          <w:numId w:val="10"/>
        </w:numPr>
        <w:spacing w:before="0" w:after="240" w:line="360" w:lineRule="auto"/>
        <w:ind w:left="1418" w:firstLine="0"/>
        <w:jc w:val="both"/>
        <w:rPr>
          <w:sz w:val="24"/>
          <w:szCs w:val="24"/>
          <w:lang w:val="pt-BR"/>
        </w:rPr>
      </w:pPr>
      <w:r>
        <w:rPr>
          <w:sz w:val="24"/>
          <w:szCs w:val="24"/>
          <w:lang w:val="pt-BR"/>
        </w:rPr>
        <w:t>S</w:t>
      </w:r>
      <w:r w:rsidRPr="00030CEB" w:rsidR="00030CEB">
        <w:rPr>
          <w:sz w:val="24"/>
          <w:szCs w:val="24"/>
          <w:lang w:val="pt-BR"/>
        </w:rPr>
        <w:t xml:space="preserve">ejam dados como liquidados os valores das multas administrativas e valores devidos a título de verba de fiscalização, que deverão, </w:t>
      </w:r>
      <w:r w:rsidRPr="00BC1AE2" w:rsidR="00030CEB">
        <w:rPr>
          <w:sz w:val="24"/>
          <w:szCs w:val="24"/>
          <w:lang w:val="pt-BR"/>
        </w:rPr>
        <w:t>após nova atualização</w:t>
      </w:r>
      <w:r w:rsidRPr="00BC1AE2" w:rsidR="00BC1AE2">
        <w:rPr>
          <w:sz w:val="24"/>
          <w:szCs w:val="24"/>
          <w:lang w:val="pt-BR"/>
        </w:rPr>
        <w:t xml:space="preserve"> no momento oportuno</w:t>
      </w:r>
      <w:r w:rsidRPr="00030CEB" w:rsidR="00030CEB">
        <w:rPr>
          <w:sz w:val="24"/>
          <w:szCs w:val="24"/>
          <w:lang w:val="pt-BR"/>
        </w:rPr>
        <w:t>, ser compensados em caso de eventual indenização devida à Requerente.</w:t>
      </w:r>
    </w:p>
    <w:p w:rsidRPr="004E5B1D" w:rsidR="002A423E" w:rsidP="002A423E" w:rsidRDefault="002A423E" w14:paraId="7DA2EDA9" w14:textId="645CC4E6">
      <w:pPr>
        <w:spacing w:after="240" w:line="360" w:lineRule="auto"/>
        <w:ind w:left="360"/>
        <w:jc w:val="right"/>
        <w:rPr>
          <w:sz w:val="24"/>
          <w:lang w:val="pt-BR"/>
        </w:rPr>
      </w:pPr>
    </w:p>
    <w:p w:rsidR="002A423E" w:rsidP="002A423E" w:rsidRDefault="002A423E" w14:paraId="7E8F7865" w14:textId="78E30249">
      <w:pPr>
        <w:spacing w:after="240" w:line="360" w:lineRule="auto"/>
        <w:ind w:left="360"/>
        <w:jc w:val="right"/>
        <w:rPr>
          <w:sz w:val="24"/>
          <w:lang w:val="pt-BR"/>
        </w:rPr>
      </w:pPr>
      <w:r w:rsidRPr="004E5B1D">
        <w:rPr>
          <w:sz w:val="24"/>
          <w:lang w:val="pt-BR"/>
        </w:rPr>
        <w:t xml:space="preserve">Brasília/DF, </w:t>
      </w:r>
      <w:r w:rsidR="00F0481B">
        <w:rPr>
          <w:sz w:val="24"/>
          <w:lang w:val="pt-BR"/>
        </w:rPr>
        <w:t>30 de junho de 2021.</w:t>
      </w:r>
    </w:p>
    <w:p w:rsidRPr="004E5B1D" w:rsidR="00BC1AE2" w:rsidP="002A423E" w:rsidRDefault="00BC1AE2" w14:paraId="37DBA15B" w14:textId="77777777">
      <w:pPr>
        <w:spacing w:after="240" w:line="360" w:lineRule="auto"/>
        <w:ind w:left="360"/>
        <w:jc w:val="right"/>
        <w:rPr>
          <w:sz w:val="24"/>
          <w:lang w:val="pt-BR"/>
        </w:rPr>
      </w:pPr>
    </w:p>
    <w:p w:rsidRPr="004E5B1D" w:rsidR="002A423E" w:rsidP="002A423E" w:rsidRDefault="002A423E" w14:paraId="610AC5AF" w14:textId="77777777">
      <w:pPr>
        <w:ind w:left="360"/>
        <w:jc w:val="both"/>
        <w:rPr>
          <w:lang w:val="pt-BR"/>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80"/>
        <w:gridCol w:w="4380"/>
      </w:tblGrid>
      <w:tr w:rsidRPr="00BC1AE2" w:rsidR="00BC1AE2" w:rsidTr="00BC1AE2" w14:paraId="706EB856" w14:textId="77777777">
        <w:tc>
          <w:tcPr>
            <w:tcW w:w="4380" w:type="dxa"/>
            <w:tcBorders>
              <w:top w:val="nil"/>
              <w:left w:val="nil"/>
              <w:bottom w:val="nil"/>
              <w:right w:val="nil"/>
            </w:tcBorders>
            <w:shd w:val="clear" w:color="auto" w:fill="auto"/>
            <w:hideMark/>
          </w:tcPr>
          <w:p w:rsidRPr="00BC1AE2" w:rsidR="00BC1AE2" w:rsidP="00BC1AE2" w:rsidRDefault="00BC1AE2" w14:paraId="48D626B6" w14:textId="77777777">
            <w:pPr>
              <w:widowControl/>
              <w:autoSpaceDE/>
              <w:autoSpaceDN/>
              <w:jc w:val="center"/>
              <w:textAlignment w:val="baseline"/>
              <w:rPr>
                <w:rFonts w:ascii="Segoe UI" w:hAnsi="Segoe UI" w:cs="Segoe UI"/>
                <w:sz w:val="18"/>
                <w:szCs w:val="18"/>
                <w:lang w:val="pt-BR" w:eastAsia="pt-BR"/>
              </w:rPr>
            </w:pPr>
            <w:r w:rsidRPr="00BC1AE2">
              <w:rPr>
                <w:rFonts w:ascii="Arial" w:hAnsi="Arial" w:cs="Arial"/>
                <w:sz w:val="20"/>
                <w:szCs w:val="20"/>
                <w:lang w:val="pt-BR" w:eastAsia="pt-BR"/>
              </w:rPr>
              <w:t> </w:t>
            </w:r>
          </w:p>
          <w:p w:rsidRPr="00BC1AE2" w:rsidR="00BC1AE2" w:rsidP="00BC1AE2" w:rsidRDefault="00BC1AE2" w14:paraId="5A97E63D" w14:textId="77777777">
            <w:pPr>
              <w:widowControl/>
              <w:autoSpaceDE/>
              <w:autoSpaceDN/>
              <w:jc w:val="center"/>
              <w:textAlignment w:val="baseline"/>
              <w:rPr>
                <w:rFonts w:ascii="Segoe UI" w:hAnsi="Segoe UI" w:cs="Segoe UI"/>
                <w:sz w:val="18"/>
                <w:szCs w:val="18"/>
                <w:lang w:val="pt-BR" w:eastAsia="pt-BR"/>
              </w:rPr>
            </w:pPr>
            <w:r w:rsidRPr="00BC1AE2">
              <w:rPr>
                <w:rFonts w:ascii="Arial" w:hAnsi="Arial" w:cs="Arial"/>
                <w:sz w:val="20"/>
                <w:szCs w:val="20"/>
                <w:lang w:val="pt-BR" w:eastAsia="pt-BR"/>
              </w:rPr>
              <w:t> </w:t>
            </w:r>
          </w:p>
          <w:p w:rsidRPr="00BC1AE2" w:rsidR="003E6F94" w:rsidP="003E6F94" w:rsidRDefault="003E6F94" w14:paraId="2E8BB163" w14:textId="77777777">
            <w:pPr>
              <w:widowControl/>
              <w:autoSpaceDE/>
              <w:autoSpaceDN/>
              <w:jc w:val="center"/>
              <w:textAlignment w:val="baseline"/>
              <w:rPr>
                <w:rFonts w:ascii="Segoe UI" w:hAnsi="Segoe UI" w:cs="Segoe UI"/>
                <w:sz w:val="18"/>
                <w:szCs w:val="18"/>
                <w:lang w:val="pt-BR" w:eastAsia="pt-BR"/>
              </w:rPr>
            </w:pPr>
            <w:r w:rsidRPr="00BC1AE2">
              <w:rPr>
                <w:b/>
                <w:bCs/>
                <w:sz w:val="20"/>
                <w:szCs w:val="20"/>
                <w:lang w:val="en-US" w:eastAsia="pt-BR"/>
              </w:rPr>
              <w:t>KALIANE</w:t>
            </w:r>
            <w:r w:rsidRPr="00BC1AE2">
              <w:rPr>
                <w:b/>
                <w:bCs/>
                <w:color w:val="000000"/>
                <w:sz w:val="20"/>
                <w:szCs w:val="20"/>
                <w:lang w:val="en-US" w:eastAsia="pt-BR"/>
              </w:rPr>
              <w:t> WILMA CAVALCANTE DE LIRA</w:t>
            </w:r>
            <w:r w:rsidRPr="00BC1AE2">
              <w:rPr>
                <w:color w:val="000000"/>
                <w:sz w:val="20"/>
                <w:szCs w:val="20"/>
                <w:lang w:val="pt-BR" w:eastAsia="pt-BR"/>
              </w:rPr>
              <w:t> </w:t>
            </w:r>
          </w:p>
          <w:p w:rsidRPr="00BC1AE2" w:rsidR="00BC1AE2" w:rsidP="003E6F94" w:rsidRDefault="003E6F94" w14:paraId="16470481" w14:textId="68EAFCA1">
            <w:pPr>
              <w:widowControl/>
              <w:autoSpaceDE/>
              <w:autoSpaceDN/>
              <w:jc w:val="center"/>
              <w:textAlignment w:val="baseline"/>
              <w:rPr>
                <w:rFonts w:ascii="Segoe UI" w:hAnsi="Segoe UI" w:cs="Segoe UI"/>
                <w:sz w:val="18"/>
                <w:szCs w:val="18"/>
                <w:lang w:val="pt-BR" w:eastAsia="pt-BR"/>
              </w:rPr>
            </w:pPr>
            <w:r w:rsidRPr="00BC1AE2">
              <w:rPr>
                <w:color w:val="000000"/>
                <w:sz w:val="20"/>
                <w:szCs w:val="20"/>
                <w:lang w:val="en-US" w:eastAsia="pt-BR"/>
              </w:rPr>
              <w:t>Procuradoria Federal junto à Agência Nacional de Transportes Terrestres</w:t>
            </w:r>
            <w:r w:rsidRPr="00BC1AE2" w:rsidR="00BC1AE2">
              <w:rPr>
                <w:rFonts w:ascii="Arial" w:hAnsi="Arial" w:cs="Arial"/>
                <w:sz w:val="20"/>
                <w:szCs w:val="20"/>
                <w:lang w:val="pt-BR" w:eastAsia="pt-BR"/>
              </w:rPr>
              <w:t> </w:t>
            </w:r>
          </w:p>
        </w:tc>
        <w:tc>
          <w:tcPr>
            <w:tcW w:w="4380" w:type="dxa"/>
            <w:tcBorders>
              <w:top w:val="nil"/>
              <w:left w:val="nil"/>
              <w:bottom w:val="nil"/>
              <w:right w:val="nil"/>
            </w:tcBorders>
            <w:shd w:val="clear" w:color="auto" w:fill="auto"/>
            <w:hideMark/>
          </w:tcPr>
          <w:p w:rsidRPr="00BC1AE2" w:rsidR="00BC1AE2" w:rsidP="00BC1AE2" w:rsidRDefault="00BC1AE2" w14:paraId="3D847FB6"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1F244176" w14:textId="77777777">
            <w:pPr>
              <w:widowControl/>
              <w:autoSpaceDE/>
              <w:autoSpaceDN/>
              <w:jc w:val="center"/>
              <w:textAlignment w:val="baseline"/>
              <w:rPr>
                <w:rFonts w:ascii="Segoe UI" w:hAnsi="Segoe UI" w:cs="Segoe UI"/>
                <w:sz w:val="18"/>
                <w:szCs w:val="18"/>
                <w:lang w:val="pt-BR" w:eastAsia="pt-BR"/>
              </w:rPr>
            </w:pPr>
            <w:r w:rsidRPr="00BC1AE2">
              <w:rPr>
                <w:rFonts w:ascii="Arial" w:hAnsi="Arial" w:cs="Arial"/>
                <w:sz w:val="20"/>
                <w:szCs w:val="20"/>
                <w:lang w:val="pt-BR" w:eastAsia="pt-BR"/>
              </w:rPr>
              <w:t> </w:t>
            </w:r>
          </w:p>
          <w:p w:rsidRPr="00BC1AE2" w:rsidR="00BC1AE2" w:rsidP="00BC1AE2" w:rsidRDefault="00BC1AE2" w14:paraId="4CF00543" w14:textId="77777777">
            <w:pPr>
              <w:widowControl/>
              <w:autoSpaceDE/>
              <w:autoSpaceDN/>
              <w:jc w:val="center"/>
              <w:textAlignment w:val="baseline"/>
              <w:rPr>
                <w:rFonts w:ascii="Segoe UI" w:hAnsi="Segoe UI" w:cs="Segoe UI"/>
                <w:sz w:val="18"/>
                <w:szCs w:val="18"/>
                <w:lang w:val="pt-BR" w:eastAsia="pt-BR"/>
              </w:rPr>
            </w:pPr>
            <w:r w:rsidRPr="00BC1AE2">
              <w:rPr>
                <w:b/>
                <w:bCs/>
                <w:sz w:val="20"/>
                <w:szCs w:val="20"/>
                <w:lang w:val="en-US" w:eastAsia="pt-BR"/>
              </w:rPr>
              <w:t>PAULO ROBERTO AZEVEDO MAYER RAMALHO</w:t>
            </w:r>
            <w:r w:rsidRPr="00BC1AE2">
              <w:rPr>
                <w:sz w:val="20"/>
                <w:szCs w:val="20"/>
                <w:lang w:val="pt-BR" w:eastAsia="pt-BR"/>
              </w:rPr>
              <w:t> </w:t>
            </w:r>
          </w:p>
          <w:p w:rsidRPr="00BC1AE2" w:rsidR="00BC1AE2" w:rsidP="00BC1AE2" w:rsidRDefault="00BC1AE2" w14:paraId="2F06BA6D" w14:textId="77777777">
            <w:pPr>
              <w:widowControl/>
              <w:autoSpaceDE/>
              <w:autoSpaceDN/>
              <w:jc w:val="center"/>
              <w:textAlignment w:val="baseline"/>
              <w:rPr>
                <w:rFonts w:ascii="Segoe UI" w:hAnsi="Segoe UI" w:cs="Segoe UI"/>
                <w:sz w:val="18"/>
                <w:szCs w:val="18"/>
                <w:lang w:val="pt-BR" w:eastAsia="pt-BR"/>
              </w:rPr>
            </w:pPr>
            <w:r w:rsidRPr="00BC1AE2">
              <w:rPr>
                <w:sz w:val="20"/>
                <w:szCs w:val="20"/>
                <w:lang w:val="en-US" w:eastAsia="pt-BR"/>
              </w:rPr>
              <w:t>Consultoria Jurídica junto ao Ministério da Infraestrutura</w:t>
            </w:r>
            <w:r w:rsidRPr="00BC1AE2">
              <w:rPr>
                <w:sz w:val="20"/>
                <w:szCs w:val="20"/>
                <w:lang w:val="pt-BR" w:eastAsia="pt-BR"/>
              </w:rPr>
              <w:t> </w:t>
            </w:r>
          </w:p>
          <w:p w:rsidRPr="00BC1AE2" w:rsidR="00BC1AE2" w:rsidP="00BC1AE2" w:rsidRDefault="00BC1AE2" w14:paraId="302AAE55"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tc>
      </w:tr>
      <w:tr w:rsidRPr="00BC1AE2" w:rsidR="00BC1AE2" w:rsidTr="00BC1AE2" w14:paraId="3C808E86" w14:textId="77777777">
        <w:tc>
          <w:tcPr>
            <w:tcW w:w="4380" w:type="dxa"/>
            <w:tcBorders>
              <w:top w:val="nil"/>
              <w:left w:val="nil"/>
              <w:bottom w:val="nil"/>
              <w:right w:val="nil"/>
            </w:tcBorders>
            <w:shd w:val="clear" w:color="auto" w:fill="auto"/>
            <w:hideMark/>
          </w:tcPr>
          <w:p w:rsidRPr="00BC1AE2" w:rsidR="00BC1AE2" w:rsidP="00BC1AE2" w:rsidRDefault="00BC1AE2" w14:paraId="62A2A3B1"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146E9F3C"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72DF83C8" w14:textId="77777777">
            <w:pPr>
              <w:widowControl/>
              <w:autoSpaceDE/>
              <w:autoSpaceDN/>
              <w:jc w:val="center"/>
              <w:textAlignment w:val="baseline"/>
              <w:rPr>
                <w:rFonts w:ascii="Segoe UI" w:hAnsi="Segoe UI" w:cs="Segoe UI"/>
                <w:sz w:val="18"/>
                <w:szCs w:val="18"/>
                <w:lang w:val="pt-BR" w:eastAsia="pt-BR"/>
              </w:rPr>
            </w:pPr>
            <w:r w:rsidRPr="00BC1AE2">
              <w:rPr>
                <w:rFonts w:ascii="Arial" w:hAnsi="Arial" w:cs="Arial"/>
                <w:sz w:val="20"/>
                <w:szCs w:val="20"/>
                <w:lang w:val="pt-BR" w:eastAsia="pt-BR"/>
              </w:rPr>
              <w:t> </w:t>
            </w:r>
          </w:p>
          <w:p w:rsidRPr="00BC1AE2" w:rsidR="00BC1AE2" w:rsidP="00BC1AE2" w:rsidRDefault="00BC1AE2" w14:paraId="03CF7856" w14:textId="77777777">
            <w:pPr>
              <w:widowControl/>
              <w:autoSpaceDE/>
              <w:autoSpaceDN/>
              <w:jc w:val="center"/>
              <w:textAlignment w:val="baseline"/>
              <w:rPr>
                <w:rFonts w:ascii="Segoe UI" w:hAnsi="Segoe UI" w:cs="Segoe UI"/>
                <w:sz w:val="18"/>
                <w:szCs w:val="18"/>
                <w:lang w:val="pt-BR" w:eastAsia="pt-BR"/>
              </w:rPr>
            </w:pPr>
            <w:r w:rsidRPr="00BC1AE2">
              <w:rPr>
                <w:b/>
                <w:bCs/>
                <w:sz w:val="20"/>
                <w:szCs w:val="20"/>
                <w:lang w:val="en-US" w:eastAsia="pt-BR"/>
              </w:rPr>
              <w:t>JÚLIA THIEBAUT SACRAMENTO</w:t>
            </w:r>
            <w:r w:rsidRPr="00BC1AE2">
              <w:rPr>
                <w:sz w:val="20"/>
                <w:szCs w:val="20"/>
                <w:lang w:val="pt-BR" w:eastAsia="pt-BR"/>
              </w:rPr>
              <w:t> </w:t>
            </w:r>
          </w:p>
          <w:p w:rsidRPr="00BC1AE2" w:rsidR="00BC1AE2" w:rsidP="00BC1AE2" w:rsidRDefault="00BC1AE2" w14:paraId="49482547" w14:textId="77777777">
            <w:pPr>
              <w:widowControl/>
              <w:autoSpaceDE/>
              <w:autoSpaceDN/>
              <w:jc w:val="center"/>
              <w:textAlignment w:val="baseline"/>
              <w:rPr>
                <w:rFonts w:ascii="Segoe UI" w:hAnsi="Segoe UI" w:cs="Segoe UI"/>
                <w:sz w:val="18"/>
                <w:szCs w:val="18"/>
                <w:lang w:val="pt-BR" w:eastAsia="pt-BR"/>
              </w:rPr>
            </w:pPr>
            <w:r w:rsidRPr="00BC1AE2">
              <w:rPr>
                <w:sz w:val="20"/>
                <w:szCs w:val="20"/>
                <w:lang w:val="en-US" w:eastAsia="pt-BR"/>
              </w:rPr>
              <w:t>Núcleo Especializado em Arbitragem da AGU</w:t>
            </w:r>
            <w:r w:rsidRPr="00BC1AE2">
              <w:rPr>
                <w:sz w:val="20"/>
                <w:szCs w:val="20"/>
                <w:lang w:val="pt-BR" w:eastAsia="pt-BR"/>
              </w:rPr>
              <w:t> </w:t>
            </w:r>
          </w:p>
          <w:p w:rsidRPr="00BC1AE2" w:rsidR="00BC1AE2" w:rsidP="00BC1AE2" w:rsidRDefault="00BC1AE2" w14:paraId="6FCAEACF"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tc>
        <w:tc>
          <w:tcPr>
            <w:tcW w:w="4380" w:type="dxa"/>
            <w:tcBorders>
              <w:top w:val="nil"/>
              <w:left w:val="nil"/>
              <w:bottom w:val="nil"/>
              <w:right w:val="nil"/>
            </w:tcBorders>
            <w:shd w:val="clear" w:color="auto" w:fill="auto"/>
            <w:hideMark/>
          </w:tcPr>
          <w:p w:rsidRPr="00BC1AE2" w:rsidR="00BC1AE2" w:rsidP="00BC1AE2" w:rsidRDefault="00BC1AE2" w14:paraId="569EF51E"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2B2E6BB9"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2EE75A4C" w14:textId="77777777">
            <w:pPr>
              <w:widowControl/>
              <w:autoSpaceDE/>
              <w:autoSpaceDN/>
              <w:jc w:val="center"/>
              <w:textAlignment w:val="baseline"/>
              <w:rPr>
                <w:rFonts w:ascii="Segoe UI" w:hAnsi="Segoe UI" w:cs="Segoe UI"/>
                <w:sz w:val="18"/>
                <w:szCs w:val="18"/>
                <w:lang w:val="pt-BR" w:eastAsia="pt-BR"/>
              </w:rPr>
            </w:pPr>
            <w:r w:rsidRPr="00BC1AE2">
              <w:rPr>
                <w:rFonts w:ascii="Arial" w:hAnsi="Arial" w:cs="Arial"/>
                <w:sz w:val="20"/>
                <w:szCs w:val="20"/>
                <w:lang w:val="pt-BR" w:eastAsia="pt-BR"/>
              </w:rPr>
              <w:t> </w:t>
            </w:r>
          </w:p>
          <w:p w:rsidRPr="00BC1AE2" w:rsidR="00BC1AE2" w:rsidP="00BC1AE2" w:rsidRDefault="00BC1AE2" w14:paraId="7C7FD106" w14:textId="77777777">
            <w:pPr>
              <w:widowControl/>
              <w:autoSpaceDE/>
              <w:autoSpaceDN/>
              <w:jc w:val="center"/>
              <w:textAlignment w:val="baseline"/>
              <w:rPr>
                <w:rFonts w:ascii="Segoe UI" w:hAnsi="Segoe UI" w:cs="Segoe UI"/>
                <w:sz w:val="18"/>
                <w:szCs w:val="18"/>
                <w:lang w:val="pt-BR" w:eastAsia="pt-BR"/>
              </w:rPr>
            </w:pPr>
            <w:r w:rsidRPr="00BC1AE2">
              <w:rPr>
                <w:b/>
                <w:bCs/>
                <w:sz w:val="20"/>
                <w:szCs w:val="20"/>
                <w:lang w:val="en-US" w:eastAsia="pt-BR"/>
              </w:rPr>
              <w:t>ANA PAULA AMENO SOBRAL</w:t>
            </w:r>
            <w:r w:rsidRPr="00BC1AE2">
              <w:rPr>
                <w:sz w:val="20"/>
                <w:szCs w:val="20"/>
                <w:lang w:val="pt-BR" w:eastAsia="pt-BR"/>
              </w:rPr>
              <w:t> </w:t>
            </w:r>
          </w:p>
          <w:p w:rsidRPr="00BC1AE2" w:rsidR="00BC1AE2" w:rsidP="00BC1AE2" w:rsidRDefault="00BC1AE2" w14:paraId="4E82D4F4" w14:textId="77777777">
            <w:pPr>
              <w:widowControl/>
              <w:autoSpaceDE/>
              <w:autoSpaceDN/>
              <w:jc w:val="center"/>
              <w:textAlignment w:val="baseline"/>
              <w:rPr>
                <w:rFonts w:ascii="Segoe UI" w:hAnsi="Segoe UI" w:cs="Segoe UI"/>
                <w:sz w:val="18"/>
                <w:szCs w:val="18"/>
                <w:lang w:val="pt-BR" w:eastAsia="pt-BR"/>
              </w:rPr>
            </w:pPr>
            <w:r w:rsidRPr="00BC1AE2">
              <w:rPr>
                <w:sz w:val="20"/>
                <w:szCs w:val="20"/>
                <w:lang w:val="en-US" w:eastAsia="pt-BR"/>
              </w:rPr>
              <w:t>Núcleo Especializado em Arbitragem da AGU</w:t>
            </w:r>
            <w:r w:rsidRPr="00BC1AE2">
              <w:rPr>
                <w:sz w:val="20"/>
                <w:szCs w:val="20"/>
                <w:lang w:val="pt-BR" w:eastAsia="pt-BR"/>
              </w:rPr>
              <w:t> </w:t>
            </w:r>
          </w:p>
          <w:p w:rsidRPr="00BC1AE2" w:rsidR="00BC1AE2" w:rsidP="00BC1AE2" w:rsidRDefault="00BC1AE2" w14:paraId="0C308590"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tc>
      </w:tr>
      <w:tr w:rsidRPr="00BC1AE2" w:rsidR="00BC1AE2" w:rsidTr="00BC1AE2" w14:paraId="381B40EB" w14:textId="77777777">
        <w:tc>
          <w:tcPr>
            <w:tcW w:w="4380" w:type="dxa"/>
            <w:tcBorders>
              <w:top w:val="nil"/>
              <w:left w:val="nil"/>
              <w:bottom w:val="nil"/>
              <w:right w:val="nil"/>
            </w:tcBorders>
            <w:shd w:val="clear" w:color="auto" w:fill="auto"/>
            <w:hideMark/>
          </w:tcPr>
          <w:p w:rsidRPr="00BC1AE2" w:rsidR="00BC1AE2" w:rsidP="00BC1AE2" w:rsidRDefault="00BC1AE2" w14:paraId="2AE880C6"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34A0FA75"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1EB51BC5" w14:textId="77777777">
            <w:pPr>
              <w:widowControl/>
              <w:autoSpaceDE/>
              <w:autoSpaceDN/>
              <w:jc w:val="center"/>
              <w:textAlignment w:val="baseline"/>
              <w:rPr>
                <w:rFonts w:ascii="Segoe UI" w:hAnsi="Segoe UI" w:cs="Segoe UI"/>
                <w:sz w:val="18"/>
                <w:szCs w:val="18"/>
                <w:lang w:val="pt-BR" w:eastAsia="pt-BR"/>
              </w:rPr>
            </w:pPr>
            <w:r w:rsidRPr="00BC1AE2">
              <w:rPr>
                <w:rFonts w:ascii="Arial" w:hAnsi="Arial" w:cs="Arial"/>
                <w:sz w:val="20"/>
                <w:szCs w:val="20"/>
                <w:lang w:val="pt-BR" w:eastAsia="pt-BR"/>
              </w:rPr>
              <w:t> </w:t>
            </w:r>
          </w:p>
          <w:p w:rsidRPr="00BC1AE2" w:rsidR="00BC1AE2" w:rsidP="00BC1AE2" w:rsidRDefault="00BC1AE2" w14:paraId="24F71010" w14:textId="77777777">
            <w:pPr>
              <w:widowControl/>
              <w:autoSpaceDE/>
              <w:autoSpaceDN/>
              <w:jc w:val="center"/>
              <w:textAlignment w:val="baseline"/>
              <w:rPr>
                <w:rFonts w:ascii="Segoe UI" w:hAnsi="Segoe UI" w:cs="Segoe UI"/>
                <w:sz w:val="18"/>
                <w:szCs w:val="18"/>
                <w:lang w:val="pt-BR" w:eastAsia="pt-BR"/>
              </w:rPr>
            </w:pPr>
            <w:r w:rsidRPr="00BC1AE2">
              <w:rPr>
                <w:b/>
                <w:bCs/>
                <w:sz w:val="20"/>
                <w:szCs w:val="20"/>
                <w:lang w:val="en-US" w:eastAsia="pt-BR"/>
              </w:rPr>
              <w:t>ARISTHÉA TOTTI SILVA CASTELO BRANCO DE ALENCAR</w:t>
            </w:r>
            <w:r w:rsidRPr="00BC1AE2">
              <w:rPr>
                <w:sz w:val="20"/>
                <w:szCs w:val="20"/>
                <w:lang w:val="pt-BR" w:eastAsia="pt-BR"/>
              </w:rPr>
              <w:t> </w:t>
            </w:r>
          </w:p>
          <w:p w:rsidRPr="00BC1AE2" w:rsidR="00BC1AE2" w:rsidP="00BC1AE2" w:rsidRDefault="00BC1AE2" w14:paraId="352FF1D5" w14:textId="77777777">
            <w:pPr>
              <w:widowControl/>
              <w:autoSpaceDE/>
              <w:autoSpaceDN/>
              <w:jc w:val="center"/>
              <w:textAlignment w:val="baseline"/>
              <w:rPr>
                <w:rFonts w:ascii="Segoe UI" w:hAnsi="Segoe UI" w:cs="Segoe UI"/>
                <w:sz w:val="18"/>
                <w:szCs w:val="18"/>
                <w:lang w:val="pt-BR" w:eastAsia="pt-BR"/>
              </w:rPr>
            </w:pPr>
            <w:r w:rsidRPr="00BC1AE2">
              <w:rPr>
                <w:sz w:val="20"/>
                <w:szCs w:val="20"/>
                <w:lang w:val="en-US" w:eastAsia="pt-BR"/>
              </w:rPr>
              <w:t>Núcleo Especializado em Arbitragem da AGU</w:t>
            </w:r>
            <w:r w:rsidRPr="00BC1AE2">
              <w:rPr>
                <w:sz w:val="20"/>
                <w:szCs w:val="20"/>
                <w:lang w:val="pt-BR" w:eastAsia="pt-BR"/>
              </w:rPr>
              <w:t> </w:t>
            </w:r>
          </w:p>
          <w:p w:rsidRPr="00BC1AE2" w:rsidR="00BC1AE2" w:rsidP="00BC1AE2" w:rsidRDefault="00BC1AE2" w14:paraId="0B5D3ED1"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tc>
        <w:tc>
          <w:tcPr>
            <w:tcW w:w="4380" w:type="dxa"/>
            <w:tcBorders>
              <w:top w:val="nil"/>
              <w:left w:val="nil"/>
              <w:bottom w:val="nil"/>
              <w:right w:val="nil"/>
            </w:tcBorders>
            <w:shd w:val="clear" w:color="auto" w:fill="auto"/>
            <w:hideMark/>
          </w:tcPr>
          <w:p w:rsidRPr="00BC1AE2" w:rsidR="00BC1AE2" w:rsidP="00BC1AE2" w:rsidRDefault="00BC1AE2" w14:paraId="133F8184"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0658512A"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052E722E" w14:textId="77777777">
            <w:pPr>
              <w:widowControl/>
              <w:autoSpaceDE/>
              <w:autoSpaceDN/>
              <w:jc w:val="center"/>
              <w:textAlignment w:val="baseline"/>
              <w:rPr>
                <w:rFonts w:ascii="Segoe UI" w:hAnsi="Segoe UI" w:cs="Segoe UI"/>
                <w:sz w:val="18"/>
                <w:szCs w:val="18"/>
                <w:lang w:val="pt-BR" w:eastAsia="pt-BR"/>
              </w:rPr>
            </w:pPr>
            <w:r w:rsidRPr="00BC1AE2">
              <w:rPr>
                <w:rFonts w:ascii="Arial" w:hAnsi="Arial" w:cs="Arial"/>
                <w:sz w:val="20"/>
                <w:szCs w:val="20"/>
                <w:lang w:val="pt-BR" w:eastAsia="pt-BR"/>
              </w:rPr>
              <w:t> </w:t>
            </w:r>
          </w:p>
          <w:p w:rsidRPr="00BC1AE2" w:rsidR="00BC1AE2" w:rsidP="00BC1AE2" w:rsidRDefault="00BC1AE2" w14:paraId="61DF11D8" w14:textId="77777777">
            <w:pPr>
              <w:widowControl/>
              <w:autoSpaceDE/>
              <w:autoSpaceDN/>
              <w:jc w:val="center"/>
              <w:textAlignment w:val="baseline"/>
              <w:rPr>
                <w:rFonts w:ascii="Segoe UI" w:hAnsi="Segoe UI" w:cs="Segoe UI"/>
                <w:sz w:val="18"/>
                <w:szCs w:val="18"/>
                <w:lang w:val="pt-BR" w:eastAsia="pt-BR"/>
              </w:rPr>
            </w:pPr>
            <w:r w:rsidRPr="00BC1AE2">
              <w:rPr>
                <w:b/>
                <w:bCs/>
                <w:sz w:val="20"/>
                <w:szCs w:val="20"/>
                <w:lang w:val="en-US" w:eastAsia="pt-BR"/>
              </w:rPr>
              <w:t>PAULA BUTTI CARDOSO</w:t>
            </w:r>
            <w:r w:rsidRPr="00BC1AE2">
              <w:rPr>
                <w:sz w:val="20"/>
                <w:szCs w:val="20"/>
                <w:lang w:val="pt-BR" w:eastAsia="pt-BR"/>
              </w:rPr>
              <w:t> </w:t>
            </w:r>
          </w:p>
          <w:p w:rsidRPr="00BC1AE2" w:rsidR="00BC1AE2" w:rsidP="00BC1AE2" w:rsidRDefault="00BC1AE2" w14:paraId="45BC8215" w14:textId="77777777">
            <w:pPr>
              <w:widowControl/>
              <w:autoSpaceDE/>
              <w:autoSpaceDN/>
              <w:jc w:val="center"/>
              <w:textAlignment w:val="baseline"/>
              <w:rPr>
                <w:rFonts w:ascii="Segoe UI" w:hAnsi="Segoe UI" w:cs="Segoe UI"/>
                <w:sz w:val="18"/>
                <w:szCs w:val="18"/>
                <w:lang w:val="pt-BR" w:eastAsia="pt-BR"/>
              </w:rPr>
            </w:pPr>
            <w:r w:rsidRPr="00BC1AE2">
              <w:rPr>
                <w:sz w:val="20"/>
                <w:szCs w:val="20"/>
                <w:lang w:val="en-US" w:eastAsia="pt-BR"/>
              </w:rPr>
              <w:t>Coordenadora do Núcleo Especializado em Arbitragem da AGU</w:t>
            </w:r>
            <w:r w:rsidRPr="00BC1AE2">
              <w:rPr>
                <w:sz w:val="20"/>
                <w:szCs w:val="20"/>
                <w:lang w:val="pt-BR" w:eastAsia="pt-BR"/>
              </w:rPr>
              <w:t> </w:t>
            </w:r>
          </w:p>
          <w:p w:rsidRPr="00BC1AE2" w:rsidR="00BC1AE2" w:rsidP="00BC1AE2" w:rsidRDefault="00BC1AE2" w14:paraId="6BD727B5"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tc>
      </w:tr>
      <w:tr w:rsidRPr="00BC1AE2" w:rsidR="00BC1AE2" w:rsidTr="00BC1AE2" w14:paraId="34E0E742" w14:textId="77777777">
        <w:tc>
          <w:tcPr>
            <w:tcW w:w="4380" w:type="dxa"/>
            <w:tcBorders>
              <w:top w:val="nil"/>
              <w:left w:val="nil"/>
              <w:bottom w:val="nil"/>
              <w:right w:val="nil"/>
            </w:tcBorders>
            <w:shd w:val="clear" w:color="auto" w:fill="auto"/>
            <w:hideMark/>
          </w:tcPr>
          <w:p w:rsidRPr="00BC1AE2" w:rsidR="00BC1AE2" w:rsidP="00BC1AE2" w:rsidRDefault="00BC1AE2" w14:paraId="08963C16"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068BBAC3"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3988891B" w14:textId="77777777">
            <w:pPr>
              <w:widowControl/>
              <w:autoSpaceDE/>
              <w:autoSpaceDN/>
              <w:ind w:right="1035" w:firstLine="1125"/>
              <w:jc w:val="center"/>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3E6F94" w:rsidP="003E6F94" w:rsidRDefault="003E6F94" w14:paraId="58383345" w14:textId="77777777">
            <w:pPr>
              <w:widowControl/>
              <w:autoSpaceDE/>
              <w:autoSpaceDN/>
              <w:jc w:val="center"/>
              <w:textAlignment w:val="baseline"/>
              <w:rPr>
                <w:rFonts w:ascii="Segoe UI" w:hAnsi="Segoe UI" w:cs="Segoe UI"/>
                <w:sz w:val="18"/>
                <w:szCs w:val="18"/>
                <w:lang w:val="pt-BR" w:eastAsia="pt-BR"/>
              </w:rPr>
            </w:pPr>
            <w:r>
              <w:rPr>
                <w:b/>
                <w:bCs/>
                <w:sz w:val="20"/>
                <w:szCs w:val="20"/>
                <w:lang w:val="en-US" w:eastAsia="pt-BR"/>
              </w:rPr>
              <w:t>ROBERTA NEGRÃO COSTA WACHHOLZ</w:t>
            </w:r>
            <w:r w:rsidRPr="00BC1AE2">
              <w:rPr>
                <w:sz w:val="20"/>
                <w:szCs w:val="20"/>
                <w:lang w:val="pt-BR" w:eastAsia="pt-BR"/>
              </w:rPr>
              <w:t> </w:t>
            </w:r>
          </w:p>
          <w:p w:rsidRPr="00BC1AE2" w:rsidR="003E6F94" w:rsidP="003E6F94" w:rsidRDefault="003E6F94" w14:paraId="7F13B74D" w14:textId="77777777">
            <w:pPr>
              <w:widowControl/>
              <w:autoSpaceDE/>
              <w:autoSpaceDN/>
              <w:jc w:val="center"/>
              <w:textAlignment w:val="baseline"/>
              <w:rPr>
                <w:rFonts w:ascii="Segoe UI" w:hAnsi="Segoe UI" w:cs="Segoe UI"/>
                <w:sz w:val="18"/>
                <w:szCs w:val="18"/>
                <w:lang w:val="pt-BR" w:eastAsia="pt-BR"/>
              </w:rPr>
            </w:pPr>
            <w:r>
              <w:rPr>
                <w:sz w:val="18"/>
                <w:szCs w:val="18"/>
                <w:lang w:val="pt-BR" w:eastAsia="pt-BR"/>
              </w:rPr>
              <w:t>Procuradoria Federal junto à Agência Nacional de Transportes Terrestres</w:t>
            </w:r>
          </w:p>
          <w:p w:rsidRPr="00BC1AE2" w:rsidR="00BC1AE2" w:rsidP="00BC1AE2" w:rsidRDefault="00BC1AE2" w14:paraId="224C17BB" w14:textId="19EA9A90">
            <w:pPr>
              <w:widowControl/>
              <w:autoSpaceDE/>
              <w:autoSpaceDN/>
              <w:jc w:val="center"/>
              <w:textAlignment w:val="baseline"/>
              <w:rPr>
                <w:rFonts w:ascii="Segoe UI" w:hAnsi="Segoe UI" w:cs="Segoe UI"/>
                <w:sz w:val="18"/>
                <w:szCs w:val="18"/>
                <w:lang w:val="pt-BR" w:eastAsia="pt-BR"/>
              </w:rPr>
            </w:pPr>
            <w:bookmarkStart w:name="_GoBack" w:id="0"/>
            <w:bookmarkEnd w:id="0"/>
          </w:p>
        </w:tc>
        <w:tc>
          <w:tcPr>
            <w:tcW w:w="4380" w:type="dxa"/>
            <w:tcBorders>
              <w:top w:val="nil"/>
              <w:left w:val="nil"/>
              <w:bottom w:val="nil"/>
              <w:right w:val="nil"/>
            </w:tcBorders>
            <w:shd w:val="clear" w:color="auto" w:fill="auto"/>
            <w:hideMark/>
          </w:tcPr>
          <w:p w:rsidRPr="00BC1AE2" w:rsidR="00BC1AE2" w:rsidP="00BC1AE2" w:rsidRDefault="00BC1AE2" w14:paraId="5C371861"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48AF2AF6"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03100486" w14:textId="77777777">
            <w:pPr>
              <w:widowControl/>
              <w:autoSpaceDE/>
              <w:autoSpaceDN/>
              <w:ind w:right="1035" w:firstLine="1125"/>
              <w:jc w:val="center"/>
              <w:textAlignment w:val="baseline"/>
              <w:rPr>
                <w:rFonts w:ascii="Segoe UI" w:hAnsi="Segoe UI" w:cs="Segoe UI"/>
                <w:sz w:val="18"/>
                <w:szCs w:val="18"/>
                <w:lang w:val="pt-BR" w:eastAsia="pt-BR"/>
              </w:rPr>
            </w:pPr>
            <w:r w:rsidRPr="00BC1AE2">
              <w:rPr>
                <w:color w:val="000000"/>
                <w:sz w:val="20"/>
                <w:szCs w:val="20"/>
                <w:lang w:val="pt-BR" w:eastAsia="pt-BR"/>
              </w:rPr>
              <w:t> </w:t>
            </w:r>
          </w:p>
          <w:p w:rsidRPr="00BC1AE2" w:rsidR="00BC1AE2" w:rsidP="00BC1AE2" w:rsidRDefault="00BC1AE2" w14:paraId="188A4466" w14:textId="77777777">
            <w:pPr>
              <w:widowControl/>
              <w:autoSpaceDE/>
              <w:autoSpaceDN/>
              <w:jc w:val="center"/>
              <w:textAlignment w:val="baseline"/>
              <w:rPr>
                <w:rFonts w:ascii="Segoe UI" w:hAnsi="Segoe UI" w:cs="Segoe UI"/>
                <w:sz w:val="18"/>
                <w:szCs w:val="18"/>
                <w:lang w:val="pt-BR" w:eastAsia="pt-BR"/>
              </w:rPr>
            </w:pPr>
            <w:r w:rsidRPr="00BC1AE2">
              <w:rPr>
                <w:b/>
                <w:bCs/>
                <w:color w:val="000000"/>
                <w:sz w:val="20"/>
                <w:szCs w:val="20"/>
                <w:lang w:val="en-US" w:eastAsia="pt-BR"/>
              </w:rPr>
              <w:t>JONAS </w:t>
            </w:r>
            <w:r w:rsidRPr="00BC1AE2">
              <w:rPr>
                <w:b/>
                <w:bCs/>
                <w:sz w:val="20"/>
                <w:szCs w:val="20"/>
                <w:lang w:val="en-US" w:eastAsia="pt-BR"/>
              </w:rPr>
              <w:t>RODRIGUES</w:t>
            </w:r>
            <w:r w:rsidRPr="00BC1AE2">
              <w:rPr>
                <w:b/>
                <w:bCs/>
                <w:color w:val="000000"/>
                <w:sz w:val="20"/>
                <w:szCs w:val="20"/>
                <w:lang w:val="en-US" w:eastAsia="pt-BR"/>
              </w:rPr>
              <w:t> DA SILVA JUNIOR</w:t>
            </w:r>
            <w:r w:rsidRPr="00BC1AE2">
              <w:rPr>
                <w:color w:val="000000"/>
                <w:sz w:val="20"/>
                <w:szCs w:val="20"/>
                <w:lang w:val="pt-BR" w:eastAsia="pt-BR"/>
              </w:rPr>
              <w:t> </w:t>
            </w:r>
          </w:p>
          <w:p w:rsidRPr="00BC1AE2" w:rsidR="00BC1AE2" w:rsidP="00BC1AE2" w:rsidRDefault="00BC1AE2" w14:paraId="0B6ECDFC" w14:textId="77777777">
            <w:pPr>
              <w:widowControl/>
              <w:autoSpaceDE/>
              <w:autoSpaceDN/>
              <w:jc w:val="center"/>
              <w:textAlignment w:val="baseline"/>
              <w:rPr>
                <w:rFonts w:ascii="Segoe UI" w:hAnsi="Segoe UI" w:cs="Segoe UI"/>
                <w:sz w:val="18"/>
                <w:szCs w:val="18"/>
                <w:lang w:val="pt-BR" w:eastAsia="pt-BR"/>
              </w:rPr>
            </w:pPr>
            <w:r w:rsidRPr="00BC1AE2">
              <w:rPr>
                <w:color w:val="000000"/>
                <w:sz w:val="20"/>
                <w:szCs w:val="20"/>
                <w:lang w:val="en-US" w:eastAsia="pt-BR"/>
              </w:rPr>
              <w:t>Procuradoria Federal junto à Agência </w:t>
            </w:r>
            <w:r w:rsidRPr="00BC1AE2">
              <w:rPr>
                <w:sz w:val="20"/>
                <w:szCs w:val="20"/>
                <w:lang w:val="en-US" w:eastAsia="pt-BR"/>
              </w:rPr>
              <w:t>Nacional</w:t>
            </w:r>
            <w:r w:rsidRPr="00BC1AE2">
              <w:rPr>
                <w:color w:val="000000"/>
                <w:sz w:val="20"/>
                <w:szCs w:val="20"/>
                <w:lang w:val="en-US" w:eastAsia="pt-BR"/>
              </w:rPr>
              <w:t> de Transportes Terrestres</w:t>
            </w:r>
            <w:r w:rsidRPr="00BC1AE2">
              <w:rPr>
                <w:color w:val="000000"/>
                <w:sz w:val="20"/>
                <w:szCs w:val="20"/>
                <w:lang w:val="pt-BR" w:eastAsia="pt-BR"/>
              </w:rPr>
              <w:t> </w:t>
            </w:r>
          </w:p>
        </w:tc>
      </w:tr>
      <w:tr w:rsidRPr="00BC1AE2" w:rsidR="00BC1AE2" w:rsidTr="00BC1AE2" w14:paraId="3527F3FF" w14:textId="77777777">
        <w:tc>
          <w:tcPr>
            <w:tcW w:w="4380" w:type="dxa"/>
            <w:tcBorders>
              <w:top w:val="nil"/>
              <w:left w:val="nil"/>
              <w:bottom w:val="nil"/>
              <w:right w:val="nil"/>
            </w:tcBorders>
            <w:shd w:val="clear" w:color="auto" w:fill="auto"/>
            <w:hideMark/>
          </w:tcPr>
          <w:p w:rsidRPr="00BC1AE2" w:rsidR="00BC1AE2" w:rsidP="00BC1AE2" w:rsidRDefault="00BC1AE2" w14:paraId="331496FC"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lang w:val="pt-BR" w:eastAsia="pt-BR"/>
              </w:rPr>
              <w:t> </w:t>
            </w:r>
          </w:p>
        </w:tc>
        <w:tc>
          <w:tcPr>
            <w:tcW w:w="4380" w:type="dxa"/>
            <w:tcBorders>
              <w:top w:val="nil"/>
              <w:left w:val="nil"/>
              <w:bottom w:val="nil"/>
              <w:right w:val="nil"/>
            </w:tcBorders>
            <w:shd w:val="clear" w:color="auto" w:fill="auto"/>
            <w:hideMark/>
          </w:tcPr>
          <w:p w:rsidRPr="00BC1AE2" w:rsidR="00BC1AE2" w:rsidP="00BC1AE2" w:rsidRDefault="00BC1AE2" w14:paraId="37F10A61"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lang w:val="pt-BR" w:eastAsia="pt-BR"/>
              </w:rPr>
              <w:t> </w:t>
            </w:r>
          </w:p>
        </w:tc>
      </w:tr>
      <w:tr w:rsidRPr="00BC1AE2" w:rsidR="00BC1AE2" w:rsidTr="00BC1AE2" w14:paraId="537186C2" w14:textId="77777777">
        <w:tc>
          <w:tcPr>
            <w:tcW w:w="4380" w:type="dxa"/>
            <w:tcBorders>
              <w:top w:val="nil"/>
              <w:left w:val="nil"/>
              <w:bottom w:val="nil"/>
              <w:right w:val="nil"/>
            </w:tcBorders>
            <w:shd w:val="clear" w:color="auto" w:fill="auto"/>
            <w:hideMark/>
          </w:tcPr>
          <w:p w:rsidRPr="00BC1AE2" w:rsidR="00BC1AE2" w:rsidP="00BC1AE2" w:rsidRDefault="00BC1AE2" w14:paraId="58C83F6C"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lang w:val="pt-BR" w:eastAsia="pt-BR"/>
              </w:rPr>
              <w:t> </w:t>
            </w:r>
          </w:p>
        </w:tc>
        <w:tc>
          <w:tcPr>
            <w:tcW w:w="4380" w:type="dxa"/>
            <w:tcBorders>
              <w:top w:val="nil"/>
              <w:left w:val="nil"/>
              <w:bottom w:val="nil"/>
              <w:right w:val="nil"/>
            </w:tcBorders>
            <w:shd w:val="clear" w:color="auto" w:fill="auto"/>
            <w:hideMark/>
          </w:tcPr>
          <w:p w:rsidRPr="00BC1AE2" w:rsidR="00BC1AE2" w:rsidP="00BC1AE2" w:rsidRDefault="00BC1AE2" w14:paraId="1535FE82" w14:textId="77777777">
            <w:pPr>
              <w:widowControl/>
              <w:autoSpaceDE/>
              <w:autoSpaceDN/>
              <w:ind w:right="1035" w:firstLine="1125"/>
              <w:jc w:val="both"/>
              <w:textAlignment w:val="baseline"/>
              <w:rPr>
                <w:rFonts w:ascii="Segoe UI" w:hAnsi="Segoe UI" w:cs="Segoe UI"/>
                <w:sz w:val="18"/>
                <w:szCs w:val="18"/>
                <w:lang w:val="pt-BR" w:eastAsia="pt-BR"/>
              </w:rPr>
            </w:pPr>
            <w:r w:rsidRPr="00BC1AE2">
              <w:rPr>
                <w:color w:val="000000"/>
                <w:lang w:val="pt-BR" w:eastAsia="pt-BR"/>
              </w:rPr>
              <w:t> </w:t>
            </w:r>
          </w:p>
        </w:tc>
      </w:tr>
    </w:tbl>
    <w:p w:rsidR="0F997774" w:rsidP="00BC1AE2" w:rsidRDefault="0F997774" w14:paraId="7B1B3C96" w14:textId="12509DA7">
      <w:pPr>
        <w:jc w:val="center"/>
        <w:rPr>
          <w:color w:val="000000" w:themeColor="text1"/>
          <w:lang w:val="pt-BR"/>
        </w:rPr>
      </w:pPr>
    </w:p>
    <w:p w:rsidR="00456C62" w:rsidRDefault="00456C62" w14:paraId="39BCBBA7" w14:textId="1877C10C">
      <w:pPr>
        <w:rPr>
          <w:color w:val="000000" w:themeColor="text1"/>
          <w:lang w:val="pt-BR"/>
        </w:rPr>
      </w:pPr>
      <w:r>
        <w:rPr>
          <w:color w:val="000000" w:themeColor="text1"/>
          <w:lang w:val="pt-BR"/>
        </w:rPr>
        <w:br w:type="page"/>
      </w:r>
    </w:p>
    <w:p w:rsidR="00456C62" w:rsidP="00456C62" w:rsidRDefault="00456C62" w14:paraId="39019F0C" w14:textId="77777777">
      <w:pPr>
        <w:jc w:val="center"/>
      </w:pPr>
    </w:p>
    <w:tbl>
      <w:tblPr>
        <w:tblStyle w:val="TableGrid"/>
        <w:tblW w:w="8992" w:type="dxa"/>
        <w:tblLook w:val="04A0" w:firstRow="1" w:lastRow="0" w:firstColumn="1" w:lastColumn="0" w:noHBand="0" w:noVBand="1"/>
      </w:tblPr>
      <w:tblGrid>
        <w:gridCol w:w="1065"/>
        <w:gridCol w:w="7927"/>
      </w:tblGrid>
      <w:tr w:rsidRPr="00B47828" w:rsidR="00456C62" w:rsidTr="6AFB895A" w14:paraId="309FA79E" w14:textId="77777777">
        <w:trPr>
          <w:trHeight w:val="376"/>
        </w:trPr>
        <w:tc>
          <w:tcPr>
            <w:tcW w:w="8992" w:type="dxa"/>
            <w:gridSpan w:val="2"/>
            <w:tcMar/>
          </w:tcPr>
          <w:p w:rsidRPr="00B47828" w:rsidR="00456C62" w:rsidP="005513C0" w:rsidRDefault="00456C62" w14:paraId="0E3F6202" w14:textId="77777777">
            <w:pPr>
              <w:jc w:val="center"/>
              <w:rPr>
                <w:b/>
                <w:bCs/>
              </w:rPr>
            </w:pPr>
            <w:r w:rsidRPr="00B47828">
              <w:rPr>
                <w:b/>
                <w:bCs/>
              </w:rPr>
              <w:t>Índice de documentos juntados pela requerida ANTT</w:t>
            </w:r>
          </w:p>
        </w:tc>
      </w:tr>
      <w:tr w:rsidRPr="00B47828" w:rsidR="00456C62" w:rsidTr="6AFB895A" w14:paraId="50FBF2E9" w14:textId="77777777">
        <w:trPr>
          <w:trHeight w:val="364"/>
        </w:trPr>
        <w:tc>
          <w:tcPr>
            <w:tcW w:w="1065" w:type="dxa"/>
            <w:tcMar/>
          </w:tcPr>
          <w:p w:rsidRPr="00B47828" w:rsidR="00456C62" w:rsidP="005513C0" w:rsidRDefault="00456C62" w14:paraId="77EE1769" w14:textId="77777777">
            <w:pPr>
              <w:jc w:val="center"/>
              <w:rPr>
                <w:b/>
                <w:bCs/>
              </w:rPr>
            </w:pPr>
            <w:r w:rsidRPr="00B47828">
              <w:rPr>
                <w:b/>
                <w:bCs/>
              </w:rPr>
              <w:t>Número</w:t>
            </w:r>
          </w:p>
        </w:tc>
        <w:tc>
          <w:tcPr>
            <w:tcW w:w="7927" w:type="dxa"/>
            <w:tcMar/>
          </w:tcPr>
          <w:p w:rsidRPr="00B47828" w:rsidR="00456C62" w:rsidP="005513C0" w:rsidRDefault="00456C62" w14:paraId="04050E22" w14:textId="77777777">
            <w:pPr>
              <w:jc w:val="center"/>
              <w:rPr>
                <w:b/>
                <w:bCs/>
              </w:rPr>
            </w:pPr>
            <w:r w:rsidRPr="00B47828">
              <w:rPr>
                <w:b/>
                <w:bCs/>
              </w:rPr>
              <w:t>Descrição</w:t>
            </w:r>
          </w:p>
        </w:tc>
      </w:tr>
      <w:tr w:rsidRPr="00B47828" w:rsidR="00456C62" w:rsidTr="6AFB895A" w14:paraId="3934AF66" w14:textId="77777777">
        <w:trPr>
          <w:trHeight w:val="364"/>
        </w:trPr>
        <w:tc>
          <w:tcPr>
            <w:tcW w:w="8992" w:type="dxa"/>
            <w:gridSpan w:val="2"/>
            <w:shd w:val="clear" w:color="auto" w:fill="D9D9D9" w:themeFill="background1" w:themeFillShade="D9"/>
            <w:tcMar/>
          </w:tcPr>
          <w:p w:rsidRPr="00C23A53" w:rsidR="00456C62" w:rsidP="005513C0" w:rsidRDefault="00456C62" w14:paraId="6CA2B633" w14:textId="77777777">
            <w:pPr>
              <w:jc w:val="center"/>
              <w:rPr>
                <w:b/>
                <w:bCs/>
              </w:rPr>
            </w:pPr>
            <w:r w:rsidRPr="00C23A53">
              <w:rPr>
                <w:b/>
                <w:bCs/>
              </w:rPr>
              <w:t>Resposta às Alegações Iniciais</w:t>
            </w:r>
          </w:p>
        </w:tc>
      </w:tr>
      <w:tr w:rsidRPr="00B92E75" w:rsidR="00456C62" w:rsidTr="6AFB895A" w14:paraId="0BD5B6D5" w14:textId="77777777">
        <w:trPr>
          <w:trHeight w:val="376"/>
        </w:trPr>
        <w:tc>
          <w:tcPr>
            <w:tcW w:w="1065" w:type="dxa"/>
            <w:tcMar/>
          </w:tcPr>
          <w:p w:rsidR="00456C62" w:rsidP="005513C0" w:rsidRDefault="003E750F" w14:paraId="3539B30C" w14:textId="1AD688C1">
            <w:pPr>
              <w:jc w:val="center"/>
            </w:pPr>
            <w:r>
              <w:t>R1</w:t>
            </w:r>
            <w:r w:rsidR="00456C62">
              <w:t>-01</w:t>
            </w:r>
          </w:p>
        </w:tc>
        <w:tc>
          <w:tcPr>
            <w:tcW w:w="7927" w:type="dxa"/>
            <w:tcMar/>
          </w:tcPr>
          <w:p w:rsidRPr="00B92E75" w:rsidR="00456C62" w:rsidP="005513C0" w:rsidRDefault="00456C62" w14:paraId="0196A8C8" w14:textId="77777777">
            <w:pPr>
              <w:jc w:val="both"/>
            </w:pPr>
            <w:r w:rsidRPr="00B92E75">
              <w:t>Voto DEB nº 043, de 23 de junho de 2017</w:t>
            </w:r>
          </w:p>
        </w:tc>
      </w:tr>
      <w:tr w:rsidRPr="00B92E75" w:rsidR="00456C62" w:rsidTr="6AFB895A" w14:paraId="0E8ED3B7" w14:textId="77777777">
        <w:trPr>
          <w:trHeight w:val="376"/>
        </w:trPr>
        <w:tc>
          <w:tcPr>
            <w:tcW w:w="1065" w:type="dxa"/>
            <w:tcMar/>
          </w:tcPr>
          <w:p w:rsidR="00456C62" w:rsidP="005513C0" w:rsidRDefault="003E750F" w14:paraId="20D3C95F" w14:textId="0AB2839F">
            <w:pPr>
              <w:jc w:val="center"/>
            </w:pPr>
            <w:r>
              <w:t>R1</w:t>
            </w:r>
            <w:r w:rsidR="00456C62">
              <w:t>-02</w:t>
            </w:r>
          </w:p>
        </w:tc>
        <w:tc>
          <w:tcPr>
            <w:tcW w:w="7927" w:type="dxa"/>
            <w:tcMar/>
          </w:tcPr>
          <w:p w:rsidRPr="00B92E75" w:rsidR="00456C62" w:rsidP="005513C0" w:rsidRDefault="00456C62" w14:paraId="77E10522" w14:textId="77777777">
            <w:pPr>
              <w:jc w:val="both"/>
            </w:pPr>
            <w:r w:rsidRPr="00B92E75">
              <w:t>Deliberação ANTT nº 138, de 23 de junho de 2017</w:t>
            </w:r>
          </w:p>
        </w:tc>
      </w:tr>
      <w:tr w:rsidRPr="00B92E75" w:rsidR="00456C62" w:rsidTr="6AFB895A" w14:paraId="23369D37" w14:textId="77777777">
        <w:trPr>
          <w:trHeight w:val="376"/>
        </w:trPr>
        <w:tc>
          <w:tcPr>
            <w:tcW w:w="1065" w:type="dxa"/>
            <w:tcMar/>
          </w:tcPr>
          <w:p w:rsidR="00456C62" w:rsidP="005513C0" w:rsidRDefault="003E750F" w14:paraId="185CD3FF" w14:textId="4FEBEB5A">
            <w:pPr>
              <w:jc w:val="center"/>
            </w:pPr>
            <w:r>
              <w:t>R1</w:t>
            </w:r>
            <w:r w:rsidR="00456C62">
              <w:t>-03</w:t>
            </w:r>
          </w:p>
        </w:tc>
        <w:tc>
          <w:tcPr>
            <w:tcW w:w="7927" w:type="dxa"/>
            <w:tcMar/>
          </w:tcPr>
          <w:p w:rsidRPr="00B92E75" w:rsidR="00456C62" w:rsidP="005513C0" w:rsidRDefault="00456C62" w14:paraId="3C3DA02C" w14:textId="77777777">
            <w:pPr>
              <w:ind w:left="-107"/>
              <w:jc w:val="both"/>
            </w:pPr>
            <w:r w:rsidRPr="00B92E75">
              <w:t>Nota Técnica nº 2/2017/CGEA/DOUT/SNTTA-MTPA, de 21 de julho de 2017</w:t>
            </w:r>
          </w:p>
        </w:tc>
      </w:tr>
      <w:tr w:rsidRPr="00B92E75" w:rsidR="00456C62" w:rsidTr="6AFB895A" w14:paraId="32638B8B" w14:textId="77777777">
        <w:trPr>
          <w:trHeight w:val="364"/>
        </w:trPr>
        <w:tc>
          <w:tcPr>
            <w:tcW w:w="1065" w:type="dxa"/>
            <w:tcMar/>
          </w:tcPr>
          <w:p w:rsidR="00456C62" w:rsidP="005513C0" w:rsidRDefault="003E750F" w14:paraId="013A09AC" w14:textId="1D84A234">
            <w:pPr>
              <w:jc w:val="center"/>
            </w:pPr>
            <w:r>
              <w:t>R1</w:t>
            </w:r>
            <w:r w:rsidR="00456C62">
              <w:t>-04</w:t>
            </w:r>
          </w:p>
        </w:tc>
        <w:tc>
          <w:tcPr>
            <w:tcW w:w="7927" w:type="dxa"/>
            <w:tcMar/>
          </w:tcPr>
          <w:p w:rsidRPr="00B92E75" w:rsidR="00456C62" w:rsidP="005513C0" w:rsidRDefault="00456C62" w14:paraId="2A91B1ED" w14:textId="77777777">
            <w:pPr>
              <w:jc w:val="both"/>
            </w:pPr>
            <w:r w:rsidRPr="00B92E75">
              <w:t>Parecer nº 00500/2017/CONJUR-MTPA/CGU/AGU, de 26 de julho de 2017</w:t>
            </w:r>
          </w:p>
        </w:tc>
      </w:tr>
      <w:tr w:rsidRPr="00B92E75" w:rsidR="00456C62" w:rsidTr="6AFB895A" w14:paraId="0CCC4B8C" w14:textId="77777777">
        <w:trPr>
          <w:trHeight w:val="376"/>
        </w:trPr>
        <w:tc>
          <w:tcPr>
            <w:tcW w:w="1065" w:type="dxa"/>
            <w:tcMar/>
          </w:tcPr>
          <w:p w:rsidR="00456C62" w:rsidP="005513C0" w:rsidRDefault="003E750F" w14:paraId="2FED2C8D" w14:textId="757C031B">
            <w:pPr>
              <w:jc w:val="center"/>
            </w:pPr>
            <w:r>
              <w:t>R1</w:t>
            </w:r>
            <w:r w:rsidR="00456C62">
              <w:t>-05</w:t>
            </w:r>
          </w:p>
        </w:tc>
        <w:tc>
          <w:tcPr>
            <w:tcW w:w="7927" w:type="dxa"/>
            <w:tcMar/>
          </w:tcPr>
          <w:p w:rsidRPr="00B92E75" w:rsidR="00456C62" w:rsidP="005513C0" w:rsidRDefault="00456C62" w14:paraId="38D2DF46" w14:textId="77777777">
            <w:pPr>
              <w:jc w:val="both"/>
            </w:pPr>
            <w:r w:rsidRPr="00B92E75">
              <w:t>Decreto Presidencial (Sem Número), de 15 de agosto de 2017</w:t>
            </w:r>
          </w:p>
        </w:tc>
      </w:tr>
      <w:tr w:rsidRPr="00B92E75" w:rsidR="00456C62" w:rsidTr="6AFB895A" w14:paraId="4E9F8C0D" w14:textId="77777777">
        <w:trPr>
          <w:trHeight w:val="376"/>
        </w:trPr>
        <w:tc>
          <w:tcPr>
            <w:tcW w:w="1065" w:type="dxa"/>
            <w:tcMar/>
          </w:tcPr>
          <w:p w:rsidR="00456C62" w:rsidP="005513C0" w:rsidRDefault="003E750F" w14:paraId="147B0431" w14:textId="026AF287">
            <w:pPr>
              <w:jc w:val="center"/>
            </w:pPr>
            <w:r>
              <w:t>R1</w:t>
            </w:r>
            <w:r w:rsidR="00456C62">
              <w:t>-06</w:t>
            </w:r>
          </w:p>
        </w:tc>
        <w:tc>
          <w:tcPr>
            <w:tcW w:w="7927" w:type="dxa"/>
            <w:tcMar/>
          </w:tcPr>
          <w:p w:rsidRPr="00B92E75" w:rsidR="00456C62" w:rsidP="005513C0" w:rsidRDefault="00456C62" w14:paraId="4E5C8678" w14:textId="77777777">
            <w:pPr>
              <w:jc w:val="both"/>
            </w:pPr>
            <w:r w:rsidRPr="00B92E75">
              <w:t>Memorando nº 190/2016/GEPRO/SUINF, de 24 de junho de 2016 (fls. 31/35) - Projetos executivos</w:t>
            </w:r>
          </w:p>
        </w:tc>
      </w:tr>
      <w:tr w:rsidRPr="00B92E75" w:rsidR="00456C62" w:rsidTr="6AFB895A" w14:paraId="01BE8C17" w14:textId="77777777">
        <w:trPr>
          <w:trHeight w:val="623"/>
        </w:trPr>
        <w:tc>
          <w:tcPr>
            <w:tcW w:w="1065" w:type="dxa"/>
            <w:tcMar/>
          </w:tcPr>
          <w:p w:rsidR="00456C62" w:rsidP="005513C0" w:rsidRDefault="003E750F" w14:paraId="59CC9C1F" w14:textId="448E3B27">
            <w:pPr>
              <w:jc w:val="center"/>
            </w:pPr>
            <w:r>
              <w:t>R1</w:t>
            </w:r>
            <w:r w:rsidR="00456C62">
              <w:t>-07</w:t>
            </w:r>
          </w:p>
        </w:tc>
        <w:tc>
          <w:tcPr>
            <w:tcW w:w="7927" w:type="dxa"/>
            <w:tcMar/>
          </w:tcPr>
          <w:p w:rsidRPr="00B92E75" w:rsidR="00456C62" w:rsidP="005513C0" w:rsidRDefault="00456C62" w14:paraId="198E4375" w14:textId="77777777">
            <w:pPr>
              <w:jc w:val="both"/>
            </w:pPr>
            <w:r w:rsidRPr="00B92E75">
              <w:t>Memorando nº 103/2016/GEROR/SUINF, de 01 de julho de 2016 (fls. 41/42v) - Verba de fiscalização, garantia de execução contratual, seguro de riscos operacionais e seguro de responsabilidade civil geral</w:t>
            </w:r>
          </w:p>
        </w:tc>
      </w:tr>
      <w:tr w:rsidRPr="00B92E75" w:rsidR="00456C62" w:rsidTr="6AFB895A" w14:paraId="7B2E76D7" w14:textId="77777777">
        <w:trPr>
          <w:trHeight w:val="623"/>
        </w:trPr>
        <w:tc>
          <w:tcPr>
            <w:tcW w:w="1065" w:type="dxa"/>
            <w:tcMar/>
          </w:tcPr>
          <w:p w:rsidR="00456C62" w:rsidP="005513C0" w:rsidRDefault="003E750F" w14:paraId="061104C2" w14:textId="0F62B3B7">
            <w:pPr>
              <w:jc w:val="center"/>
            </w:pPr>
            <w:r>
              <w:t>R1</w:t>
            </w:r>
            <w:r w:rsidR="00456C62">
              <w:t>-08</w:t>
            </w:r>
          </w:p>
        </w:tc>
        <w:tc>
          <w:tcPr>
            <w:tcW w:w="7927" w:type="dxa"/>
            <w:tcMar/>
          </w:tcPr>
          <w:p w:rsidRPr="00B92E75" w:rsidR="00456C62" w:rsidP="005513C0" w:rsidRDefault="00456C62" w14:paraId="55F03502" w14:textId="77777777">
            <w:pPr>
              <w:jc w:val="both"/>
            </w:pPr>
            <w:r w:rsidRPr="00B92E75">
              <w:t>Nota Técnica nº 119/GEROR/SUINF/2016, de 28 de junho de 2016 (fls. 43/49) - Garantia de execução contratual, seguro de riscos operacionais e seguro de responsabilidade civil geral</w:t>
            </w:r>
          </w:p>
        </w:tc>
      </w:tr>
      <w:tr w:rsidRPr="00B92E75" w:rsidR="00456C62" w:rsidTr="6AFB895A" w14:paraId="4E9340CE" w14:textId="77777777">
        <w:trPr>
          <w:trHeight w:val="376"/>
        </w:trPr>
        <w:tc>
          <w:tcPr>
            <w:tcW w:w="1065" w:type="dxa"/>
            <w:tcMar/>
          </w:tcPr>
          <w:p w:rsidR="00456C62" w:rsidP="005513C0" w:rsidRDefault="003E750F" w14:paraId="409200F4" w14:textId="6E128A84">
            <w:pPr>
              <w:jc w:val="center"/>
            </w:pPr>
            <w:r>
              <w:t>R1</w:t>
            </w:r>
            <w:r w:rsidR="00456C62">
              <w:t>-09</w:t>
            </w:r>
          </w:p>
        </w:tc>
        <w:tc>
          <w:tcPr>
            <w:tcW w:w="7927" w:type="dxa"/>
            <w:tcMar/>
          </w:tcPr>
          <w:p w:rsidRPr="00B92E75" w:rsidR="00456C62" w:rsidP="005513C0" w:rsidRDefault="00456C62" w14:paraId="3C3B6B61" w14:textId="77777777">
            <w:pPr>
              <w:jc w:val="both"/>
            </w:pPr>
            <w:r w:rsidRPr="00B92E75">
              <w:t>Parecer Técnico nº 23/2016/GEROR/SUINF, de 27 de junho de 2016 (fls. 50/54) - Verba de fiscalização</w:t>
            </w:r>
          </w:p>
        </w:tc>
      </w:tr>
      <w:tr w:rsidRPr="00B92E75" w:rsidR="00456C62" w:rsidTr="6AFB895A" w14:paraId="1917D28C" w14:textId="77777777">
        <w:trPr>
          <w:trHeight w:val="623"/>
        </w:trPr>
        <w:tc>
          <w:tcPr>
            <w:tcW w:w="1065" w:type="dxa"/>
            <w:tcMar/>
          </w:tcPr>
          <w:p w:rsidR="00456C62" w:rsidP="005513C0" w:rsidRDefault="003E750F" w14:paraId="0229ED24" w14:textId="657AD985">
            <w:pPr>
              <w:jc w:val="center"/>
            </w:pPr>
            <w:r>
              <w:t>R1</w:t>
            </w:r>
            <w:r w:rsidR="00456C62">
              <w:t>-10</w:t>
            </w:r>
          </w:p>
        </w:tc>
        <w:tc>
          <w:tcPr>
            <w:tcW w:w="7927" w:type="dxa"/>
            <w:tcMar/>
          </w:tcPr>
          <w:p w:rsidRPr="00B92E75" w:rsidR="00456C62" w:rsidP="005513C0" w:rsidRDefault="00456C62" w14:paraId="1D7B2A70" w14:textId="77777777">
            <w:pPr>
              <w:jc w:val="both"/>
            </w:pPr>
            <w:r w:rsidRPr="00B92E75">
              <w:t>Memorando nº 209/2016/GEPRO/SUINF, de 01 de julho de 2016 (fl. 70) - Faixa de domínio e meio ambiente</w:t>
            </w:r>
          </w:p>
        </w:tc>
      </w:tr>
      <w:tr w:rsidRPr="00B92E75" w:rsidR="00456C62" w:rsidTr="6AFB895A" w14:paraId="5458F601" w14:textId="77777777">
        <w:trPr>
          <w:trHeight w:val="635"/>
        </w:trPr>
        <w:tc>
          <w:tcPr>
            <w:tcW w:w="1065" w:type="dxa"/>
            <w:tcMar/>
          </w:tcPr>
          <w:p w:rsidR="00456C62" w:rsidP="005513C0" w:rsidRDefault="003E750F" w14:paraId="41F516C2" w14:textId="1B65ECEB">
            <w:pPr>
              <w:jc w:val="center"/>
            </w:pPr>
            <w:r>
              <w:t>R1</w:t>
            </w:r>
            <w:r w:rsidR="00456C62">
              <w:t>-11</w:t>
            </w:r>
          </w:p>
        </w:tc>
        <w:tc>
          <w:tcPr>
            <w:tcW w:w="7927" w:type="dxa"/>
            <w:tcMar/>
          </w:tcPr>
          <w:p w:rsidRPr="00B92E75" w:rsidR="00456C62" w:rsidP="005513C0" w:rsidRDefault="00456C62" w14:paraId="7276D868" w14:textId="77777777">
            <w:pPr>
              <w:jc w:val="both"/>
            </w:pPr>
            <w:r w:rsidRPr="00B92E75">
              <w:t>Nota Técnica nº 028/2016/GEPRO/SUINF, de 28 de junho de 2016 (fls. 76/82v) - Licenciamento e estudos ambientais</w:t>
            </w:r>
          </w:p>
        </w:tc>
      </w:tr>
      <w:tr w:rsidRPr="00B92E75" w:rsidR="00456C62" w:rsidTr="6AFB895A" w14:paraId="346D8AAE" w14:textId="77777777">
        <w:trPr>
          <w:trHeight w:val="623"/>
        </w:trPr>
        <w:tc>
          <w:tcPr>
            <w:tcW w:w="1065" w:type="dxa"/>
            <w:tcMar/>
          </w:tcPr>
          <w:p w:rsidR="00456C62" w:rsidP="005513C0" w:rsidRDefault="003E750F" w14:paraId="73E277AD" w14:textId="731450A4">
            <w:pPr>
              <w:jc w:val="center"/>
            </w:pPr>
            <w:r>
              <w:t>R1</w:t>
            </w:r>
            <w:r w:rsidR="00456C62">
              <w:t>-12</w:t>
            </w:r>
          </w:p>
        </w:tc>
        <w:tc>
          <w:tcPr>
            <w:tcW w:w="7927" w:type="dxa"/>
            <w:tcMar/>
          </w:tcPr>
          <w:p w:rsidRPr="00B92E75" w:rsidR="00456C62" w:rsidP="005513C0" w:rsidRDefault="00456C62" w14:paraId="52161697" w14:textId="77777777">
            <w:pPr>
              <w:jc w:val="both"/>
            </w:pPr>
            <w:r w:rsidRPr="00B92E75">
              <w:t>Nota Técnica nº 029/2016/GEPRO/SUINF, de 28 de junho de 2016 (fls. 83/85) - Uso e ocupação da faixa de domínio</w:t>
            </w:r>
          </w:p>
        </w:tc>
      </w:tr>
      <w:tr w:rsidRPr="00B92E75" w:rsidR="00456C62" w:rsidTr="6AFB895A" w14:paraId="4CDCD7BD" w14:textId="77777777">
        <w:trPr>
          <w:trHeight w:val="883"/>
        </w:trPr>
        <w:tc>
          <w:tcPr>
            <w:tcW w:w="1065" w:type="dxa"/>
            <w:tcMar/>
          </w:tcPr>
          <w:p w:rsidR="00456C62" w:rsidP="005513C0" w:rsidRDefault="003E750F" w14:paraId="696DF74C" w14:textId="1524A74D">
            <w:pPr>
              <w:jc w:val="center"/>
            </w:pPr>
            <w:r>
              <w:t>R1</w:t>
            </w:r>
            <w:r w:rsidR="00456C62">
              <w:t>-13</w:t>
            </w:r>
          </w:p>
        </w:tc>
        <w:tc>
          <w:tcPr>
            <w:tcW w:w="7927" w:type="dxa"/>
            <w:tcMar/>
          </w:tcPr>
          <w:p w:rsidRPr="00B92E75" w:rsidR="00456C62" w:rsidP="005513C0" w:rsidRDefault="00456C62" w14:paraId="3AB50064" w14:textId="77777777">
            <w:pPr>
              <w:jc w:val="both"/>
            </w:pPr>
            <w:r w:rsidRPr="00B92E75">
              <w:t>Memorando nº 705/2016/GEINV/SUINF, de 01 de julho de 2016 (fls. 91/98) - Projetos, obras, planejamento anual, aparelhamento da PRF, desapropriação, estudo ambiental, remoção de interferência e desapropriação</w:t>
            </w:r>
          </w:p>
        </w:tc>
      </w:tr>
      <w:tr w:rsidRPr="00B92E75" w:rsidR="00456C62" w:rsidTr="6AFB895A" w14:paraId="2C8296B3" w14:textId="77777777">
        <w:trPr>
          <w:trHeight w:val="635"/>
        </w:trPr>
        <w:tc>
          <w:tcPr>
            <w:tcW w:w="1065" w:type="dxa"/>
            <w:tcMar/>
          </w:tcPr>
          <w:p w:rsidR="00456C62" w:rsidP="005513C0" w:rsidRDefault="003E750F" w14:paraId="4F4D5E94" w14:textId="4F204909">
            <w:pPr>
              <w:jc w:val="center"/>
            </w:pPr>
            <w:r>
              <w:t>R1</w:t>
            </w:r>
            <w:r w:rsidR="00456C62">
              <w:t>-14</w:t>
            </w:r>
          </w:p>
        </w:tc>
        <w:tc>
          <w:tcPr>
            <w:tcW w:w="7927" w:type="dxa"/>
            <w:tcMar/>
          </w:tcPr>
          <w:p w:rsidRPr="00B92E75" w:rsidR="00456C62" w:rsidP="005513C0" w:rsidRDefault="00456C62" w14:paraId="66322356" w14:textId="77777777">
            <w:pPr>
              <w:jc w:val="both"/>
            </w:pPr>
            <w:r w:rsidRPr="00B92E75">
              <w:t>Memorando nº 258/2016/GEFOR/SUINF, de 13 de julho de 2016 (fls. 108/109) - Obras, parâmetros técnicos, de qualidade e de desempenho do PER</w:t>
            </w:r>
          </w:p>
        </w:tc>
      </w:tr>
      <w:tr w:rsidRPr="00B92E75" w:rsidR="00456C62" w:rsidTr="6AFB895A" w14:paraId="3C71A5B0" w14:textId="77777777">
        <w:trPr>
          <w:trHeight w:val="623"/>
        </w:trPr>
        <w:tc>
          <w:tcPr>
            <w:tcW w:w="1065" w:type="dxa"/>
            <w:tcMar/>
          </w:tcPr>
          <w:p w:rsidR="00456C62" w:rsidP="005513C0" w:rsidRDefault="003E750F" w14:paraId="28DC1F8E" w14:textId="762CB14F">
            <w:pPr>
              <w:jc w:val="center"/>
            </w:pPr>
            <w:r>
              <w:t>R1</w:t>
            </w:r>
            <w:r w:rsidR="00456C62">
              <w:t>-15</w:t>
            </w:r>
          </w:p>
        </w:tc>
        <w:tc>
          <w:tcPr>
            <w:tcW w:w="7927" w:type="dxa"/>
            <w:tcMar/>
          </w:tcPr>
          <w:p w:rsidRPr="00B92E75" w:rsidR="00456C62" w:rsidP="005513C0" w:rsidRDefault="00456C62" w14:paraId="1FB34BDA" w14:textId="77777777">
            <w:pPr>
              <w:jc w:val="both"/>
            </w:pPr>
            <w:r w:rsidRPr="00B92E75">
              <w:t>Parecer Técnico nº 122/2015/GEFOR/SUINF, de 19 de julho de 2015 (fls. 110/117v) - Parâmetros de desempenho - 6º mês</w:t>
            </w:r>
          </w:p>
        </w:tc>
      </w:tr>
      <w:tr w:rsidRPr="00B92E75" w:rsidR="00456C62" w:rsidTr="6AFB895A" w14:paraId="2D3D35A8" w14:textId="77777777">
        <w:trPr>
          <w:trHeight w:val="623"/>
        </w:trPr>
        <w:tc>
          <w:tcPr>
            <w:tcW w:w="1065" w:type="dxa"/>
            <w:tcMar/>
          </w:tcPr>
          <w:p w:rsidR="00456C62" w:rsidP="005513C0" w:rsidRDefault="003E750F" w14:paraId="6EEE3351" w14:textId="78B4B28F">
            <w:pPr>
              <w:jc w:val="center"/>
            </w:pPr>
            <w:r>
              <w:t>R1</w:t>
            </w:r>
            <w:r w:rsidR="00456C62">
              <w:t>-16</w:t>
            </w:r>
          </w:p>
        </w:tc>
        <w:tc>
          <w:tcPr>
            <w:tcW w:w="7927" w:type="dxa"/>
            <w:tcMar/>
          </w:tcPr>
          <w:p w:rsidRPr="00B92E75" w:rsidR="00456C62" w:rsidP="005513C0" w:rsidRDefault="00456C62" w14:paraId="43339739" w14:textId="77777777">
            <w:pPr>
              <w:jc w:val="both"/>
            </w:pPr>
            <w:r w:rsidRPr="00B92E75">
              <w:t>Parecer Técnico nº 156/2015/GEFOR/SUINF, de 27 de agosto de 2015 (fls. 118/128v) - Parâmetros de desempenho - 9º mês</w:t>
            </w:r>
          </w:p>
        </w:tc>
      </w:tr>
      <w:tr w:rsidRPr="00B92E75" w:rsidR="00456C62" w:rsidTr="6AFB895A" w14:paraId="4F0F7E92" w14:textId="77777777">
        <w:trPr>
          <w:trHeight w:val="635"/>
        </w:trPr>
        <w:tc>
          <w:tcPr>
            <w:tcW w:w="1065" w:type="dxa"/>
            <w:tcMar/>
          </w:tcPr>
          <w:p w:rsidR="00456C62" w:rsidP="005513C0" w:rsidRDefault="003E750F" w14:paraId="2040409B" w14:textId="0E7FFE80">
            <w:pPr>
              <w:jc w:val="center"/>
            </w:pPr>
            <w:r>
              <w:t>R1</w:t>
            </w:r>
            <w:r w:rsidR="00456C62">
              <w:t>-17</w:t>
            </w:r>
          </w:p>
        </w:tc>
        <w:tc>
          <w:tcPr>
            <w:tcW w:w="7927" w:type="dxa"/>
            <w:tcMar/>
          </w:tcPr>
          <w:p w:rsidRPr="00B92E75" w:rsidR="00456C62" w:rsidP="005513C0" w:rsidRDefault="00456C62" w14:paraId="5BFB343A" w14:textId="77777777">
            <w:pPr>
              <w:jc w:val="both"/>
            </w:pPr>
            <w:r w:rsidRPr="00B92E75">
              <w:t>Parecer Técnico nº 209/2015/GEFOR/SUINF, de 02 de dezembro de 2015 (fls. 129/137v) - Parâmetros de desempenho - Trabalhos Iniciais</w:t>
            </w:r>
          </w:p>
        </w:tc>
      </w:tr>
      <w:tr w:rsidRPr="00B92E75" w:rsidR="00456C62" w:rsidTr="6AFB895A" w14:paraId="7778E887" w14:textId="77777777">
        <w:trPr>
          <w:trHeight w:val="623"/>
        </w:trPr>
        <w:tc>
          <w:tcPr>
            <w:tcW w:w="1065" w:type="dxa"/>
            <w:tcMar/>
          </w:tcPr>
          <w:p w:rsidR="00456C62" w:rsidP="005513C0" w:rsidRDefault="00C049F6" w14:paraId="2077774A" w14:textId="40BF0977">
            <w:pPr>
              <w:jc w:val="center"/>
            </w:pPr>
            <w:r>
              <w:t>R1</w:t>
            </w:r>
            <w:r w:rsidR="00456C62">
              <w:t>-18</w:t>
            </w:r>
          </w:p>
        </w:tc>
        <w:tc>
          <w:tcPr>
            <w:tcW w:w="7927" w:type="dxa"/>
            <w:tcMar/>
          </w:tcPr>
          <w:p w:rsidRPr="00B92E75" w:rsidR="00456C62" w:rsidP="005513C0" w:rsidRDefault="00456C62" w14:paraId="222819F7" w14:textId="77777777">
            <w:pPr>
              <w:jc w:val="both"/>
            </w:pPr>
            <w:r w:rsidRPr="00B92E75">
              <w:t>Parecer Técnico nº 058/2016/COINF-URMG/SUINF, de 06 de abril de 2016 (fls. 138/145) - Obras, parâmetros técnicos, de qualidade e de desempenho do PER</w:t>
            </w:r>
          </w:p>
        </w:tc>
      </w:tr>
      <w:tr w:rsidRPr="00B92E75" w:rsidR="00456C62" w:rsidTr="6AFB895A" w14:paraId="35700D5B" w14:textId="77777777">
        <w:trPr>
          <w:trHeight w:val="623"/>
        </w:trPr>
        <w:tc>
          <w:tcPr>
            <w:tcW w:w="1065" w:type="dxa"/>
            <w:tcMar/>
          </w:tcPr>
          <w:p w:rsidR="00456C62" w:rsidP="005513C0" w:rsidRDefault="00C049F6" w14:paraId="747D6E0A" w14:textId="1A8FDFAE">
            <w:pPr>
              <w:jc w:val="center"/>
            </w:pPr>
            <w:r>
              <w:t>R1</w:t>
            </w:r>
            <w:r w:rsidR="00456C62">
              <w:t>-19</w:t>
            </w:r>
          </w:p>
        </w:tc>
        <w:tc>
          <w:tcPr>
            <w:tcW w:w="7927" w:type="dxa"/>
            <w:tcMar/>
          </w:tcPr>
          <w:p w:rsidRPr="00B92E75" w:rsidR="00456C62" w:rsidP="005513C0" w:rsidRDefault="00456C62" w14:paraId="0AF35E29" w14:textId="77777777">
            <w:pPr>
              <w:jc w:val="both"/>
            </w:pPr>
            <w:r w:rsidRPr="00B92E75">
              <w:t>Memorando nº 197/2016/GEROR/SUINF, de 23 de dezembro de 2016 (fls. 2.378/2.380) - Verba de fiscalização</w:t>
            </w:r>
          </w:p>
        </w:tc>
      </w:tr>
      <w:tr w:rsidRPr="00B92E75" w:rsidR="00456C62" w:rsidTr="6AFB895A" w14:paraId="10031403" w14:textId="77777777">
        <w:trPr>
          <w:trHeight w:val="635"/>
        </w:trPr>
        <w:tc>
          <w:tcPr>
            <w:tcW w:w="1065" w:type="dxa"/>
            <w:tcMar/>
          </w:tcPr>
          <w:p w:rsidR="00456C62" w:rsidP="005513C0" w:rsidRDefault="00C049F6" w14:paraId="26BD3A52" w14:textId="2CA4BD56">
            <w:pPr>
              <w:jc w:val="center"/>
            </w:pPr>
            <w:r>
              <w:t>R1</w:t>
            </w:r>
            <w:r w:rsidR="00456C62">
              <w:t>-20</w:t>
            </w:r>
          </w:p>
        </w:tc>
        <w:tc>
          <w:tcPr>
            <w:tcW w:w="7927" w:type="dxa"/>
            <w:tcMar/>
          </w:tcPr>
          <w:p w:rsidRPr="00B92E75" w:rsidR="00456C62" w:rsidP="005513C0" w:rsidRDefault="00456C62" w14:paraId="44732299" w14:textId="77777777">
            <w:pPr>
              <w:jc w:val="both"/>
            </w:pPr>
            <w:r w:rsidRPr="00B92E75">
              <w:t>Parecer Técnico nº 040/GEROR/SUINF/2016, de 23 de dezembro de 2016 (fls. 2.384/2.429) - Bens reversíveis e cálculo de indenização</w:t>
            </w:r>
          </w:p>
        </w:tc>
      </w:tr>
      <w:tr w:rsidRPr="00B92E75" w:rsidR="00456C62" w:rsidTr="6AFB895A" w14:paraId="66012E6A" w14:textId="77777777">
        <w:trPr>
          <w:trHeight w:val="623"/>
        </w:trPr>
        <w:tc>
          <w:tcPr>
            <w:tcW w:w="1065" w:type="dxa"/>
            <w:tcMar/>
          </w:tcPr>
          <w:p w:rsidR="00456C62" w:rsidP="005513C0" w:rsidRDefault="00C049F6" w14:paraId="6123750E" w14:textId="72E6617E">
            <w:pPr>
              <w:jc w:val="center"/>
            </w:pPr>
            <w:r>
              <w:lastRenderedPageBreak/>
              <w:t>R1</w:t>
            </w:r>
            <w:r w:rsidR="00456C62">
              <w:t>-21</w:t>
            </w:r>
          </w:p>
        </w:tc>
        <w:tc>
          <w:tcPr>
            <w:tcW w:w="7927" w:type="dxa"/>
            <w:tcMar/>
          </w:tcPr>
          <w:p w:rsidRPr="00B92E75" w:rsidR="00456C62" w:rsidP="005513C0" w:rsidRDefault="00456C62" w14:paraId="284E7C3E" w14:textId="77777777">
            <w:pPr>
              <w:jc w:val="both"/>
            </w:pPr>
            <w:r w:rsidRPr="00B92E75">
              <w:t>Memorando nº 002/2017/GEFOR/SUINF, de 02 de janeiro de 2017 (fls. 2.434/2.442) - Processos administrativos simplificados</w:t>
            </w:r>
          </w:p>
        </w:tc>
      </w:tr>
      <w:tr w:rsidRPr="00B92E75" w:rsidR="00456C62" w:rsidTr="6AFB895A" w14:paraId="24E2B026" w14:textId="77777777">
        <w:trPr>
          <w:trHeight w:val="623"/>
        </w:trPr>
        <w:tc>
          <w:tcPr>
            <w:tcW w:w="1065" w:type="dxa"/>
            <w:tcMar/>
          </w:tcPr>
          <w:p w:rsidR="00456C62" w:rsidP="005513C0" w:rsidRDefault="00C049F6" w14:paraId="565E74D2" w14:textId="594255E2">
            <w:pPr>
              <w:jc w:val="center"/>
            </w:pPr>
            <w:r>
              <w:t>R1</w:t>
            </w:r>
            <w:r w:rsidR="00456C62">
              <w:t>-22</w:t>
            </w:r>
          </w:p>
        </w:tc>
        <w:tc>
          <w:tcPr>
            <w:tcW w:w="7927" w:type="dxa"/>
            <w:tcMar/>
          </w:tcPr>
          <w:p w:rsidRPr="00B92E75" w:rsidR="00456C62" w:rsidP="005513C0" w:rsidRDefault="00456C62" w14:paraId="00B46DBE" w14:textId="77777777">
            <w:pPr>
              <w:jc w:val="both"/>
            </w:pPr>
            <w:r w:rsidRPr="00B92E75">
              <w:t>Memorando nº 0258/2016/COINF-MG/SUINF, de 29 de dezembro de 2016 (fl. 2.445) - Obras, parâmetros técnicos, de qualidade e de desempenho do PER</w:t>
            </w:r>
          </w:p>
        </w:tc>
      </w:tr>
      <w:tr w:rsidRPr="00B92E75" w:rsidR="00456C62" w:rsidTr="6AFB895A" w14:paraId="572B0976" w14:textId="77777777">
        <w:trPr>
          <w:trHeight w:val="623"/>
        </w:trPr>
        <w:tc>
          <w:tcPr>
            <w:tcW w:w="1065" w:type="dxa"/>
            <w:tcMar/>
          </w:tcPr>
          <w:p w:rsidR="00456C62" w:rsidP="005513C0" w:rsidRDefault="00C049F6" w14:paraId="278C5608" w14:textId="622952BB">
            <w:pPr>
              <w:jc w:val="center"/>
            </w:pPr>
            <w:r>
              <w:t>R1</w:t>
            </w:r>
            <w:r w:rsidR="00456C62">
              <w:t>-23</w:t>
            </w:r>
          </w:p>
        </w:tc>
        <w:tc>
          <w:tcPr>
            <w:tcW w:w="7927" w:type="dxa"/>
            <w:tcMar/>
          </w:tcPr>
          <w:p w:rsidRPr="00B92E75" w:rsidR="00456C62" w:rsidP="005513C0" w:rsidRDefault="00456C62" w14:paraId="4DCD4709" w14:textId="77777777">
            <w:pPr>
              <w:jc w:val="both"/>
            </w:pPr>
            <w:r w:rsidRPr="00B92E75">
              <w:t>Parecer Técnico nº 265/2016/COINF-MG/SUINF, de 22 de dezembro de 2016 (fls. 2.446/2.470) - Obras, parâmetros técnicos, de qualidade e de desempenho do PER</w:t>
            </w:r>
          </w:p>
        </w:tc>
      </w:tr>
      <w:tr w:rsidRPr="00B92E75" w:rsidR="00456C62" w:rsidTr="6AFB895A" w14:paraId="4C6ABDD0" w14:textId="77777777">
        <w:trPr>
          <w:trHeight w:val="635"/>
        </w:trPr>
        <w:tc>
          <w:tcPr>
            <w:tcW w:w="1065" w:type="dxa"/>
            <w:tcMar/>
          </w:tcPr>
          <w:p w:rsidR="00456C62" w:rsidP="005513C0" w:rsidRDefault="00C049F6" w14:paraId="2916C64A" w14:textId="4F409E43">
            <w:pPr>
              <w:jc w:val="center"/>
            </w:pPr>
            <w:r>
              <w:t>R1</w:t>
            </w:r>
            <w:r w:rsidR="00456C62">
              <w:t>-24</w:t>
            </w:r>
          </w:p>
        </w:tc>
        <w:tc>
          <w:tcPr>
            <w:tcW w:w="7927" w:type="dxa"/>
            <w:tcMar/>
          </w:tcPr>
          <w:p w:rsidRPr="00B92E75" w:rsidR="00456C62" w:rsidP="005513C0" w:rsidRDefault="00456C62" w14:paraId="69C1D73A" w14:textId="77777777">
            <w:pPr>
              <w:jc w:val="both"/>
            </w:pPr>
            <w:r w:rsidRPr="00B92E75">
              <w:t>Parecer nº 00272/2017/PF-ANTT/PGF/AGU, de 06 de fevereiro de 2017 (fls. 2.584/2.588v) - Processo Administrativo Ordinário</w:t>
            </w:r>
          </w:p>
        </w:tc>
      </w:tr>
      <w:tr w:rsidRPr="00B92E75" w:rsidR="00456C62" w:rsidTr="6AFB895A" w14:paraId="6D0371D5" w14:textId="77777777">
        <w:trPr>
          <w:trHeight w:val="623"/>
        </w:trPr>
        <w:tc>
          <w:tcPr>
            <w:tcW w:w="1065" w:type="dxa"/>
            <w:tcMar/>
          </w:tcPr>
          <w:p w:rsidR="00456C62" w:rsidP="005513C0" w:rsidRDefault="00C049F6" w14:paraId="3600A410" w14:textId="277C4572">
            <w:pPr>
              <w:jc w:val="center"/>
            </w:pPr>
            <w:r>
              <w:t>R1</w:t>
            </w:r>
            <w:r w:rsidR="00456C62">
              <w:t>-25</w:t>
            </w:r>
          </w:p>
        </w:tc>
        <w:tc>
          <w:tcPr>
            <w:tcW w:w="7927" w:type="dxa"/>
            <w:tcMar/>
          </w:tcPr>
          <w:p w:rsidRPr="00B92E75" w:rsidR="00456C62" w:rsidP="005513C0" w:rsidRDefault="00456C62" w14:paraId="51A2C8F0" w14:textId="77777777">
            <w:pPr>
              <w:jc w:val="both"/>
            </w:pPr>
            <w:r w:rsidRPr="00B92E75">
              <w:t>Parecer nº 00595/2017/PF-ANTT/PGF/AGU, de 14 de março de 2017 (fls. 2.764/2.766) - Processo Administrativo Ordinário</w:t>
            </w:r>
          </w:p>
        </w:tc>
      </w:tr>
      <w:tr w:rsidRPr="00B92E75" w:rsidR="00456C62" w:rsidTr="6AFB895A" w14:paraId="05F8BD04" w14:textId="77777777">
        <w:trPr>
          <w:trHeight w:val="376"/>
        </w:trPr>
        <w:tc>
          <w:tcPr>
            <w:tcW w:w="1065" w:type="dxa"/>
            <w:tcMar/>
          </w:tcPr>
          <w:p w:rsidR="00456C62" w:rsidP="005513C0" w:rsidRDefault="00C049F6" w14:paraId="3832DFA2" w14:textId="2007D9E4">
            <w:pPr>
              <w:jc w:val="center"/>
            </w:pPr>
            <w:r>
              <w:t>R1</w:t>
            </w:r>
            <w:r w:rsidR="00456C62">
              <w:t>-26</w:t>
            </w:r>
          </w:p>
        </w:tc>
        <w:tc>
          <w:tcPr>
            <w:tcW w:w="7927" w:type="dxa"/>
            <w:tcMar/>
          </w:tcPr>
          <w:p w:rsidRPr="00B92E75" w:rsidR="00456C62" w:rsidP="005513C0" w:rsidRDefault="00456C62" w14:paraId="12BA0905" w14:textId="77777777">
            <w:pPr>
              <w:jc w:val="both"/>
            </w:pPr>
            <w:r w:rsidRPr="00B92E75">
              <w:t>Voto DSL nº 029/2017, de 15 de março de 2017 (fls. 2.768/2.772) - Processo Administrativo Ordinário</w:t>
            </w:r>
          </w:p>
        </w:tc>
      </w:tr>
      <w:tr w:rsidRPr="00B92E75" w:rsidR="00456C62" w:rsidTr="6AFB895A" w14:paraId="2B1A1DB2" w14:textId="77777777">
        <w:trPr>
          <w:trHeight w:val="506"/>
        </w:trPr>
        <w:tc>
          <w:tcPr>
            <w:tcW w:w="1065" w:type="dxa"/>
            <w:tcMar/>
          </w:tcPr>
          <w:p w:rsidR="00456C62" w:rsidP="005513C0" w:rsidRDefault="00C049F6" w14:paraId="3277FEC6" w14:textId="4D06543E">
            <w:pPr>
              <w:jc w:val="center"/>
            </w:pPr>
            <w:r>
              <w:t>R1</w:t>
            </w:r>
            <w:r w:rsidR="00456C62">
              <w:t>-27</w:t>
            </w:r>
          </w:p>
        </w:tc>
        <w:tc>
          <w:tcPr>
            <w:tcW w:w="7927" w:type="dxa"/>
            <w:tcMar/>
          </w:tcPr>
          <w:tbl>
            <w:tblPr>
              <w:tblW w:w="7790" w:type="dxa"/>
              <w:tblCellMar>
                <w:left w:w="0" w:type="dxa"/>
                <w:right w:w="0" w:type="dxa"/>
              </w:tblCellMar>
              <w:tblLook w:val="04A0" w:firstRow="1" w:lastRow="0" w:firstColumn="1" w:lastColumn="0" w:noHBand="0" w:noVBand="1"/>
            </w:tblPr>
            <w:tblGrid>
              <w:gridCol w:w="7790"/>
            </w:tblGrid>
            <w:tr w:rsidRPr="00B92E75" w:rsidR="00456C62" w:rsidTr="005513C0" w14:paraId="7D9C29D6" w14:textId="77777777">
              <w:trPr>
                <w:trHeight w:val="394"/>
              </w:trPr>
              <w:tc>
                <w:tcPr>
                  <w:tcW w:w="7790" w:type="dxa"/>
                  <w:tcMar>
                    <w:top w:w="0" w:type="dxa"/>
                    <w:left w:w="108" w:type="dxa"/>
                    <w:bottom w:w="0" w:type="dxa"/>
                    <w:right w:w="108" w:type="dxa"/>
                  </w:tcMar>
                  <w:hideMark/>
                </w:tcPr>
                <w:p w:rsidRPr="00B92E75" w:rsidR="00456C62" w:rsidP="005513C0" w:rsidRDefault="00456C62" w14:paraId="4075ADDF" w14:textId="77777777">
                  <w:pPr>
                    <w:spacing w:before="100" w:beforeAutospacing="1" w:after="100" w:afterAutospacing="1"/>
                    <w:jc w:val="both"/>
                    <w:rPr>
                      <w:lang w:eastAsia="pt-BR"/>
                    </w:rPr>
                  </w:pPr>
                  <w:r w:rsidRPr="00B92E75">
                    <w:rPr>
                      <w:lang w:eastAsia="pt-BR"/>
                    </w:rPr>
                    <w:t>Relatório Final da Comissão Processante, de 04 de abril de 2017 (fls. 2.859/2.972) - Processo Administrativo Ordinário</w:t>
                  </w:r>
                </w:p>
              </w:tc>
            </w:tr>
          </w:tbl>
          <w:p w:rsidRPr="00B92E75" w:rsidR="00456C62" w:rsidP="005513C0" w:rsidRDefault="00456C62" w14:paraId="6AFDF12C" w14:textId="77777777">
            <w:pPr>
              <w:spacing w:before="100" w:beforeAutospacing="1" w:after="100" w:afterAutospacing="1"/>
            </w:pPr>
          </w:p>
        </w:tc>
      </w:tr>
      <w:tr w:rsidRPr="00B92E75" w:rsidR="00456C62" w:rsidTr="6AFB895A" w14:paraId="1621B25E" w14:textId="77777777">
        <w:trPr>
          <w:trHeight w:val="506"/>
        </w:trPr>
        <w:tc>
          <w:tcPr>
            <w:tcW w:w="8992" w:type="dxa"/>
            <w:gridSpan w:val="2"/>
            <w:shd w:val="clear" w:color="auto" w:fill="D9D9D9" w:themeFill="background1" w:themeFillShade="D9"/>
            <w:tcMar/>
          </w:tcPr>
          <w:p w:rsidRPr="00C23A53" w:rsidR="00456C62" w:rsidP="005513C0" w:rsidRDefault="00456C62" w14:paraId="23F2011E" w14:textId="77777777">
            <w:pPr>
              <w:jc w:val="center"/>
              <w:rPr>
                <w:b/>
                <w:lang w:eastAsia="pt-BR"/>
              </w:rPr>
            </w:pPr>
            <w:r w:rsidRPr="00C23A53">
              <w:rPr>
                <w:b/>
                <w:lang w:eastAsia="pt-BR"/>
              </w:rPr>
              <w:t>Petição de 30.01.2020</w:t>
            </w:r>
          </w:p>
        </w:tc>
      </w:tr>
      <w:tr w:rsidRPr="00B92E75" w:rsidR="009C0E9B" w:rsidTr="6AFB895A" w14:paraId="163A1193" w14:textId="77777777">
        <w:trPr>
          <w:trHeight w:val="376"/>
        </w:trPr>
        <w:tc>
          <w:tcPr>
            <w:tcW w:w="1065" w:type="dxa"/>
            <w:shd w:val="clear" w:color="auto" w:fill="FFFFFF" w:themeFill="background1"/>
            <w:tcMar/>
          </w:tcPr>
          <w:p w:rsidR="009C0E9B" w:rsidP="009C0E9B" w:rsidRDefault="00C049F6" w14:paraId="5A54D3D4" w14:textId="0E657EDB">
            <w:pPr>
              <w:jc w:val="center"/>
            </w:pPr>
            <w:r>
              <w:t>R1</w:t>
            </w:r>
            <w:r w:rsidR="009C0E9B">
              <w:t>-28</w:t>
            </w:r>
          </w:p>
        </w:tc>
        <w:tc>
          <w:tcPr>
            <w:tcW w:w="7927" w:type="dxa"/>
            <w:shd w:val="clear" w:color="auto" w:fill="FFFFFF" w:themeFill="background1"/>
            <w:tcMar/>
          </w:tcPr>
          <w:p w:rsidR="009C0E9B" w:rsidP="009C0E9B" w:rsidRDefault="009C0E9B" w14:paraId="034F59F1" w14:textId="008B91F0">
            <w:pPr>
              <w:jc w:val="both"/>
            </w:pPr>
            <w:r>
              <w:t>Sentença proferida na ação ordinária nº 0012434-56.2017.4.015101</w:t>
            </w:r>
          </w:p>
        </w:tc>
      </w:tr>
      <w:tr w:rsidRPr="00B92E75" w:rsidR="009C0E9B" w:rsidTr="6AFB895A" w14:paraId="2B6331F7" w14:textId="77777777">
        <w:trPr>
          <w:trHeight w:val="376"/>
        </w:trPr>
        <w:tc>
          <w:tcPr>
            <w:tcW w:w="8992" w:type="dxa"/>
            <w:gridSpan w:val="2"/>
            <w:shd w:val="clear" w:color="auto" w:fill="D9D9D9" w:themeFill="background1" w:themeFillShade="D9"/>
            <w:tcMar/>
          </w:tcPr>
          <w:p w:rsidR="009C0E9B" w:rsidP="009C0E9B" w:rsidRDefault="009C0E9B" w14:paraId="0C0B5FB4" w14:textId="6E516D62">
            <w:pPr>
              <w:jc w:val="center"/>
            </w:pPr>
            <w:r>
              <w:rPr>
                <w:b/>
                <w:lang w:eastAsia="pt-BR"/>
              </w:rPr>
              <w:t xml:space="preserve">Manifestação </w:t>
            </w:r>
            <w:r w:rsidR="003E750F">
              <w:rPr>
                <w:b/>
                <w:lang w:eastAsia="pt-BR"/>
              </w:rPr>
              <w:t>conjunta da União e da ANTT em atendimento à OP 7</w:t>
            </w:r>
          </w:p>
        </w:tc>
      </w:tr>
      <w:tr w:rsidRPr="00B92E75" w:rsidR="009C0E9B" w:rsidTr="6AFB895A" w14:paraId="04572248" w14:textId="77777777">
        <w:trPr>
          <w:trHeight w:val="376"/>
        </w:trPr>
        <w:tc>
          <w:tcPr>
            <w:tcW w:w="1065" w:type="dxa"/>
            <w:shd w:val="clear" w:color="auto" w:fill="FFFFFF" w:themeFill="background1"/>
            <w:tcMar/>
          </w:tcPr>
          <w:p w:rsidR="009C0E9B" w:rsidP="009C0E9B" w:rsidRDefault="003E750F" w14:paraId="5DDB62AD" w14:textId="06658D82">
            <w:pPr>
              <w:jc w:val="center"/>
            </w:pPr>
            <w:r>
              <w:t>R</w:t>
            </w:r>
            <w:r w:rsidR="00C049F6">
              <w:t>1-29</w:t>
            </w:r>
          </w:p>
        </w:tc>
        <w:tc>
          <w:tcPr>
            <w:tcW w:w="7927" w:type="dxa"/>
            <w:shd w:val="clear" w:color="auto" w:fill="FFFFFF" w:themeFill="background1"/>
            <w:tcMar/>
          </w:tcPr>
          <w:p w:rsidR="009C0E9B" w:rsidP="009C0E9B" w:rsidRDefault="007F2347" w14:paraId="44657C1C" w14:textId="69F10530">
            <w:pPr>
              <w:jc w:val="both"/>
            </w:pPr>
            <w:r>
              <w:t>VALORES ATUALIZADOSMULTAS E VERBAS DE FISCALIZAÇÃO CASO GALVÃO – fev. 2021</w:t>
            </w:r>
          </w:p>
        </w:tc>
      </w:tr>
      <w:tr w:rsidRPr="00B92E75" w:rsidR="009C0E9B" w:rsidTr="6AFB895A" w14:paraId="0D324A52" w14:textId="77777777">
        <w:trPr>
          <w:trHeight w:val="376"/>
        </w:trPr>
        <w:tc>
          <w:tcPr>
            <w:tcW w:w="8992" w:type="dxa"/>
            <w:gridSpan w:val="2"/>
            <w:shd w:val="clear" w:color="auto" w:fill="D9D9D9" w:themeFill="background1" w:themeFillShade="D9"/>
            <w:tcMar/>
          </w:tcPr>
          <w:p w:rsidR="009C0E9B" w:rsidP="009C0E9B" w:rsidRDefault="003E750F" w14:paraId="38576E61" w14:textId="772EC477">
            <w:pPr>
              <w:jc w:val="center"/>
            </w:pPr>
            <w:r>
              <w:rPr>
                <w:b/>
                <w:lang w:eastAsia="pt-BR"/>
              </w:rPr>
              <w:t xml:space="preserve">Manifestação conjunta da União e da ANTT </w:t>
            </w:r>
            <w:r w:rsidR="00C049F6">
              <w:rPr>
                <w:b/>
                <w:lang w:eastAsia="pt-BR"/>
              </w:rPr>
              <w:t xml:space="preserve">sobre </w:t>
            </w:r>
            <w:r w:rsidRPr="00C049F6" w:rsidR="00C049F6">
              <w:rPr>
                <w:b/>
                <w:bCs/>
                <w:lang w:val="pt-BR" w:eastAsia="pt-BR"/>
              </w:rPr>
              <w:t>processos adminsitrativos de aplicação de multas não quitadas e de verbas de fiscalizaçã</w:t>
            </w:r>
            <w:r w:rsidR="00C049F6">
              <w:rPr>
                <w:b/>
                <w:bCs/>
                <w:lang w:val="pt-BR" w:eastAsia="pt-BR"/>
              </w:rPr>
              <w:t>o</w:t>
            </w:r>
          </w:p>
        </w:tc>
      </w:tr>
      <w:tr w:rsidRPr="00B92E75" w:rsidR="009C0E9B" w:rsidTr="6AFB895A" w14:paraId="77499FF3" w14:textId="77777777">
        <w:trPr>
          <w:trHeight w:val="376"/>
        </w:trPr>
        <w:tc>
          <w:tcPr>
            <w:tcW w:w="1065" w:type="dxa"/>
            <w:shd w:val="clear" w:color="auto" w:fill="FFFFFF" w:themeFill="background1"/>
            <w:tcMar/>
          </w:tcPr>
          <w:p w:rsidRPr="00572B63" w:rsidR="009C0E9B" w:rsidP="009C0E9B" w:rsidRDefault="00C049F6" w14:paraId="3F82E10C" w14:textId="04EE117B">
            <w:pPr>
              <w:jc w:val="center"/>
              <w:rPr>
                <w:highlight w:val="yellow"/>
              </w:rPr>
            </w:pPr>
            <w:r w:rsidRPr="00572B63">
              <w:rPr>
                <w:highlight w:val="yellow"/>
              </w:rPr>
              <w:t>R1-30</w:t>
            </w:r>
          </w:p>
        </w:tc>
        <w:tc>
          <w:tcPr>
            <w:tcW w:w="7927" w:type="dxa"/>
            <w:shd w:val="clear" w:color="auto" w:fill="FFFFFF" w:themeFill="background1"/>
            <w:tcMar/>
          </w:tcPr>
          <w:p w:rsidRPr="00572B63" w:rsidR="009C0E9B" w:rsidP="009C0E9B" w:rsidRDefault="007F2347" w14:paraId="1B005856" w14:textId="7C7EF1FA">
            <w:pPr>
              <w:jc w:val="both"/>
              <w:rPr>
                <w:highlight w:val="yellow"/>
              </w:rPr>
            </w:pPr>
            <w:r w:rsidRPr="00572B63">
              <w:rPr>
                <w:highlight w:val="yellow"/>
              </w:rPr>
              <w:t>Atualização de débitos - Multas e encargos_legais</w:t>
            </w:r>
          </w:p>
        </w:tc>
      </w:tr>
      <w:tr w:rsidRPr="00B92E75" w:rsidR="009C0E9B" w:rsidTr="6AFB895A" w14:paraId="2D2E572B" w14:textId="77777777">
        <w:trPr>
          <w:trHeight w:val="376"/>
        </w:trPr>
        <w:tc>
          <w:tcPr>
            <w:tcW w:w="1065" w:type="dxa"/>
            <w:shd w:val="clear" w:color="auto" w:fill="FFFFFF" w:themeFill="background1"/>
            <w:tcMar/>
          </w:tcPr>
          <w:p w:rsidRPr="00572B63" w:rsidR="009C0E9B" w:rsidP="009C0E9B" w:rsidRDefault="00C049F6" w14:paraId="25C48B27" w14:textId="2FB66C0F">
            <w:pPr>
              <w:jc w:val="center"/>
              <w:rPr>
                <w:highlight w:val="yellow"/>
              </w:rPr>
            </w:pPr>
            <w:r w:rsidRPr="00572B63">
              <w:rPr>
                <w:highlight w:val="yellow"/>
              </w:rPr>
              <w:t>R1-31</w:t>
            </w:r>
          </w:p>
        </w:tc>
        <w:tc>
          <w:tcPr>
            <w:tcW w:w="7927" w:type="dxa"/>
            <w:shd w:val="clear" w:color="auto" w:fill="FFFFFF" w:themeFill="background1"/>
            <w:tcMar/>
          </w:tcPr>
          <w:p w:rsidRPr="00572B63" w:rsidR="009C0E9B" w:rsidP="009C0E9B" w:rsidRDefault="007F2347" w14:paraId="001B2A31" w14:textId="5553A1B0">
            <w:pPr>
              <w:jc w:val="both"/>
              <w:rPr>
                <w:highlight w:val="yellow"/>
              </w:rPr>
            </w:pPr>
            <w:r w:rsidRPr="00572B63">
              <w:rPr>
                <w:highlight w:val="yellow"/>
              </w:rPr>
              <w:t>Atualização de débitos - Verbas de fiscalização</w:t>
            </w:r>
          </w:p>
        </w:tc>
      </w:tr>
      <w:tr w:rsidRPr="00B92E75" w:rsidR="00C049F6" w:rsidTr="6AFB895A" w14:paraId="3ADC5114" w14:textId="77777777">
        <w:trPr>
          <w:trHeight w:val="376"/>
        </w:trPr>
        <w:tc>
          <w:tcPr>
            <w:tcW w:w="1065" w:type="dxa"/>
            <w:shd w:val="clear" w:color="auto" w:fill="FFFFFF" w:themeFill="background1"/>
            <w:tcMar/>
          </w:tcPr>
          <w:p w:rsidRPr="00572B63" w:rsidR="00C049F6" w:rsidP="009C0E9B" w:rsidRDefault="00C049F6" w14:paraId="1FD31607" w14:textId="24CF39EB">
            <w:pPr>
              <w:jc w:val="center"/>
              <w:rPr>
                <w:highlight w:val="yellow"/>
              </w:rPr>
            </w:pPr>
            <w:r w:rsidRPr="00572B63">
              <w:rPr>
                <w:highlight w:val="yellow"/>
              </w:rPr>
              <w:t>R1-32</w:t>
            </w:r>
          </w:p>
        </w:tc>
        <w:tc>
          <w:tcPr>
            <w:tcW w:w="7927" w:type="dxa"/>
            <w:shd w:val="clear" w:color="auto" w:fill="FFFFFF" w:themeFill="background1"/>
            <w:tcMar/>
          </w:tcPr>
          <w:p w:rsidRPr="00572B63" w:rsidR="00C049F6" w:rsidP="009C0E9B" w:rsidRDefault="007F2347" w14:paraId="0000D447" w14:textId="298E8ED9">
            <w:pPr>
              <w:jc w:val="both"/>
              <w:rPr>
                <w:highlight w:val="yellow"/>
              </w:rPr>
            </w:pPr>
            <w:r w:rsidRPr="00572B63">
              <w:rPr>
                <w:highlight w:val="yellow"/>
              </w:rPr>
              <w:t>DESPACHO SUROD 6460284</w:t>
            </w:r>
          </w:p>
        </w:tc>
      </w:tr>
    </w:tbl>
    <w:p w:rsidRPr="004E5B1D" w:rsidR="00456C62" w:rsidP="00BC1AE2" w:rsidRDefault="00456C62" w14:paraId="4535B8DC" w14:textId="77777777">
      <w:pPr>
        <w:jc w:val="center"/>
        <w:rPr>
          <w:color w:val="000000" w:themeColor="text1"/>
          <w:lang w:val="pt-BR"/>
        </w:rPr>
      </w:pPr>
    </w:p>
    <w:sectPr w:rsidRPr="004E5B1D" w:rsidR="00456C62">
      <w:headerReference w:type="default" r:id="rId14"/>
      <w:footerReference w:type="default" r:id="rId15"/>
      <w:type w:val="continuous"/>
      <w:pgSz w:w="11910" w:h="16840" w:orient="portrait"/>
      <w:pgMar w:top="380" w:right="480" w:bottom="280" w:left="1020" w:header="720" w:footer="720" w:gutter="0"/>
      <w:cols w:space="720"/>
    </w:sectPr>
  </w:body>
</w:document>
</file>

<file path=word/comments.xml><?xml version="1.0" encoding="utf-8"?>
<w:comments xmlns:w14="http://schemas.microsoft.com/office/word/2010/wordml" xmlns:w="http://schemas.openxmlformats.org/wordprocessingml/2006/main">
  <w:comment w:initials="PN" w:author="Priscila Cunha do Nascimento" w:date="2021-06-29T10:02:41" w:id="821060042">
    <w:p w:rsidR="6AFB895A" w:rsidRDefault="6AFB895A" w14:paraId="42FF6760" w14:textId="5F6DEFC7">
      <w:pPr>
        <w:pStyle w:val="CommentText"/>
      </w:pPr>
      <w:r w:rsidR="6AFB895A">
        <w:rPr/>
        <w:t>Esses efeitos da inflação seria a aplicação de índice de atualização monetária?</w:t>
      </w:r>
      <w:r>
        <w:rPr>
          <w:rStyle w:val="CommentReference"/>
        </w:rPr>
        <w:annotationRef/>
      </w:r>
    </w:p>
    <w:p w:rsidR="6AFB895A" w:rsidRDefault="6AFB895A" w14:paraId="7E41CBC2" w14:textId="3B0BA434">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7E41CBC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EAB266" w16cex:dateUtc="2021-06-29T13:02:41.912Z"/>
</w16cex:commentsExtensible>
</file>

<file path=word/commentsIds.xml><?xml version="1.0" encoding="utf-8"?>
<w16cid:commentsIds xmlns:mc="http://schemas.openxmlformats.org/markup-compatibility/2006" xmlns:w16cid="http://schemas.microsoft.com/office/word/2016/wordml/cid" mc:Ignorable="w16cid">
  <w16cid:commentId w16cid:paraId="7E41CBC2" w16cid:durableId="5DEAB2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6DC" w:rsidRDefault="00C716DC" w14:paraId="2C48BDD5" w14:textId="77777777">
      <w:r>
        <w:separator/>
      </w:r>
    </w:p>
  </w:endnote>
  <w:endnote w:type="continuationSeparator" w:id="0">
    <w:p w:rsidR="00C716DC" w:rsidRDefault="00C716DC" w14:paraId="17E6726E" w14:textId="77777777">
      <w:r>
        <w:continuationSeparator/>
      </w:r>
    </w:p>
  </w:endnote>
  <w:endnote w:type="continuationNotice" w:id="1">
    <w:p w:rsidR="00C716DC" w:rsidRDefault="00C716DC" w14:paraId="3D2FF6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70"/>
      <w:gridCol w:w="3470"/>
      <w:gridCol w:w="3470"/>
    </w:tblGrid>
    <w:tr w:rsidR="005A64B0" w:rsidTr="243BE936" w14:paraId="59DC25EF" w14:textId="77777777">
      <w:tc>
        <w:tcPr>
          <w:tcW w:w="3470" w:type="dxa"/>
        </w:tcPr>
        <w:p w:rsidR="005A64B0" w:rsidP="243BE936" w:rsidRDefault="005A64B0" w14:paraId="5F797252" w14:textId="2C6FCA56">
          <w:pPr>
            <w:pStyle w:val="Header"/>
            <w:ind w:left="-115"/>
          </w:pPr>
        </w:p>
      </w:tc>
      <w:tc>
        <w:tcPr>
          <w:tcW w:w="3470" w:type="dxa"/>
        </w:tcPr>
        <w:p w:rsidR="005A64B0" w:rsidP="243BE936" w:rsidRDefault="005A64B0" w14:paraId="50CEC41C" w14:textId="65B7D988">
          <w:pPr>
            <w:pStyle w:val="Header"/>
            <w:jc w:val="center"/>
          </w:pPr>
        </w:p>
      </w:tc>
      <w:tc>
        <w:tcPr>
          <w:tcW w:w="3470" w:type="dxa"/>
        </w:tcPr>
        <w:p w:rsidR="005A64B0" w:rsidP="243BE936" w:rsidRDefault="005A64B0" w14:paraId="006107B5" w14:textId="05BF0675">
          <w:pPr>
            <w:pStyle w:val="Header"/>
            <w:ind w:right="-115"/>
            <w:jc w:val="right"/>
          </w:pPr>
        </w:p>
      </w:tc>
    </w:tr>
  </w:tbl>
  <w:p w:rsidR="005A64B0" w:rsidP="243BE936" w:rsidRDefault="005A64B0" w14:paraId="33C26600" w14:textId="16575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70"/>
      <w:gridCol w:w="3470"/>
      <w:gridCol w:w="3470"/>
    </w:tblGrid>
    <w:tr w:rsidR="005A64B0" w:rsidTr="243BE936" w14:paraId="28FD06B5" w14:textId="77777777">
      <w:tc>
        <w:tcPr>
          <w:tcW w:w="3470" w:type="dxa"/>
        </w:tcPr>
        <w:p w:rsidR="005A64B0" w:rsidP="243BE936" w:rsidRDefault="005A64B0" w14:paraId="6E914724" w14:textId="259F4CC8">
          <w:pPr>
            <w:pStyle w:val="Header"/>
            <w:ind w:left="-115"/>
          </w:pPr>
        </w:p>
      </w:tc>
      <w:tc>
        <w:tcPr>
          <w:tcW w:w="3470" w:type="dxa"/>
        </w:tcPr>
        <w:p w:rsidR="005A64B0" w:rsidP="243BE936" w:rsidRDefault="005A64B0" w14:paraId="03B57BDC" w14:textId="0E3C8C8D">
          <w:pPr>
            <w:pStyle w:val="Header"/>
            <w:jc w:val="center"/>
          </w:pPr>
        </w:p>
      </w:tc>
      <w:tc>
        <w:tcPr>
          <w:tcW w:w="3470" w:type="dxa"/>
        </w:tcPr>
        <w:p w:rsidR="005A64B0" w:rsidP="243BE936" w:rsidRDefault="005A64B0" w14:paraId="5BF854F1" w14:textId="4FE23672">
          <w:pPr>
            <w:pStyle w:val="Header"/>
            <w:ind w:right="-115"/>
            <w:jc w:val="right"/>
          </w:pPr>
        </w:p>
      </w:tc>
    </w:tr>
  </w:tbl>
  <w:p w:rsidR="005A64B0" w:rsidP="243BE936" w:rsidRDefault="005A64B0" w14:paraId="7604E355" w14:textId="4E28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6DC" w:rsidRDefault="00C716DC" w14:paraId="37369A46" w14:textId="77777777">
      <w:r>
        <w:separator/>
      </w:r>
    </w:p>
  </w:footnote>
  <w:footnote w:type="continuationSeparator" w:id="0">
    <w:p w:rsidR="00C716DC" w:rsidRDefault="00C716DC" w14:paraId="74F65CCF" w14:textId="77777777">
      <w:r>
        <w:continuationSeparator/>
      </w:r>
    </w:p>
  </w:footnote>
  <w:footnote w:type="continuationNotice" w:id="1">
    <w:p w:rsidR="00C716DC" w:rsidRDefault="00C716DC" w14:paraId="5EB68837" w14:textId="77777777"/>
  </w:footnote>
  <w:footnote w:id="2">
    <w:p w:rsidRPr="009A2EF0" w:rsidR="009A2EF0" w:rsidP="009A2EF0" w:rsidRDefault="009A2EF0" w14:paraId="48C16402" w14:textId="4CFD92C6">
      <w:pPr>
        <w:pStyle w:val="FootnoteText"/>
        <w:jc w:val="both"/>
        <w:rPr>
          <w:lang w:val="pt-BR"/>
        </w:rPr>
      </w:pPr>
      <w:r>
        <w:rPr>
          <w:rStyle w:val="FootnoteReference"/>
        </w:rPr>
        <w:footnoteRef/>
      </w:r>
      <w:r>
        <w:t xml:space="preserve"> </w:t>
      </w:r>
      <w:r>
        <w:rPr>
          <w:lang w:val="pt-BR"/>
        </w:rPr>
        <w:t xml:space="preserve">Nesse sentido, o § 197 do </w:t>
      </w:r>
      <w:r w:rsidRPr="009A2EF0">
        <w:rPr>
          <w:lang w:val="pt-BR"/>
        </w:rPr>
        <w:t>Relatório Final da Comissão Processante</w:t>
      </w:r>
      <w:r>
        <w:rPr>
          <w:lang w:val="pt-BR"/>
        </w:rPr>
        <w:t xml:space="preserve"> é enfático ao asseverar que “</w:t>
      </w:r>
      <w:r w:rsidRPr="009A2EF0">
        <w:rPr>
          <w:i/>
          <w:iCs/>
          <w:lang w:val="pt-BR"/>
        </w:rPr>
        <w:t xml:space="preserve">a título de indenização, em conformidade com o Parecer nº 01705/2016/PF-ANTT/PGF/AGU, não é possível promover o desconto de valores de multas decorrentes de infrações </w:t>
      </w:r>
      <w:r w:rsidRPr="009A2EF0">
        <w:rPr>
          <w:b/>
          <w:bCs/>
          <w:i/>
          <w:iCs/>
          <w:u w:val="single"/>
          <w:lang w:val="pt-BR"/>
        </w:rPr>
        <w:t>ainda</w:t>
      </w:r>
      <w:r w:rsidRPr="009A2EF0">
        <w:rPr>
          <w:i/>
          <w:iCs/>
          <w:lang w:val="pt-BR"/>
        </w:rPr>
        <w:t xml:space="preserve"> em apuração ou </w:t>
      </w:r>
      <w:r w:rsidRPr="009A2EF0">
        <w:rPr>
          <w:b/>
          <w:bCs/>
          <w:i/>
          <w:iCs/>
          <w:u w:val="single"/>
          <w:lang w:val="pt-BR"/>
        </w:rPr>
        <w:t>ainda</w:t>
      </w:r>
      <w:r w:rsidRPr="009A2EF0">
        <w:rPr>
          <w:i/>
          <w:iCs/>
          <w:lang w:val="pt-BR"/>
        </w:rPr>
        <w:t xml:space="preserve"> pendentes de análise de defesa ou recurso pela ANTT</w:t>
      </w:r>
      <w:r>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A64B0" w:rsidP="0031467F" w:rsidRDefault="1E50428E" w14:paraId="7CF4E0A2" w14:textId="77777777">
    <w:pPr>
      <w:jc w:val="center"/>
    </w:pPr>
    <w:r w:rsidR="224BE706">
      <w:drawing>
        <wp:inline wp14:editId="745E944D" wp14:anchorId="3F77FC92">
          <wp:extent cx="799163" cy="850106"/>
          <wp:effectExtent l="0" t="0" r="0" b="0"/>
          <wp:docPr id="2" name="image1.jpeg" title=""/>
          <wp:cNvGraphicFramePr>
            <a:graphicFrameLocks noChangeAspect="1"/>
          </wp:cNvGraphicFramePr>
          <a:graphic>
            <a:graphicData uri="http://schemas.openxmlformats.org/drawingml/2006/picture">
              <pic:pic>
                <pic:nvPicPr>
                  <pic:cNvPr id="0" name="image1.jpeg"/>
                  <pic:cNvPicPr/>
                </pic:nvPicPr>
                <pic:blipFill>
                  <a:blip r:embed="R44ef7529ee3249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99163" cy="850106"/>
                  </a:xfrm>
                  <a:prstGeom prst="rect">
                    <a:avLst/>
                  </a:prstGeom>
                </pic:spPr>
              </pic:pic>
            </a:graphicData>
          </a:graphic>
        </wp:inline>
      </w:drawing>
    </w:r>
  </w:p>
  <w:p w:rsidRPr="009B0664" w:rsidR="005A64B0" w:rsidP="0031467F" w:rsidRDefault="005A64B0" w14:paraId="595AA40E" w14:textId="77777777">
    <w:pPr>
      <w:jc w:val="center"/>
    </w:pPr>
  </w:p>
  <w:p w:rsidRPr="009B0664" w:rsidR="005A64B0" w:rsidP="0031467F" w:rsidRDefault="005A64B0" w14:paraId="05549B02" w14:textId="77777777">
    <w:pPr>
      <w:jc w:val="center"/>
      <w:rPr>
        <w:b/>
      </w:rPr>
    </w:pPr>
    <w:r w:rsidRPr="009B0664">
      <w:rPr>
        <w:b/>
      </w:rPr>
      <w:t>ADVOCACIA-GERAL DA UNIÃO</w:t>
    </w:r>
  </w:p>
  <w:p w:rsidRPr="009B0664" w:rsidR="005A64B0" w:rsidP="0031467F" w:rsidRDefault="005A64B0" w14:paraId="19CB611D" w14:textId="77777777">
    <w:pPr>
      <w:jc w:val="center"/>
      <w:rPr>
        <w:b/>
      </w:rPr>
    </w:pPr>
    <w:r w:rsidRPr="009B0664">
      <w:rPr>
        <w:b/>
      </w:rPr>
      <w:t>PROCURADORIA-GERAL FEDERAL</w:t>
    </w:r>
  </w:p>
  <w:p w:rsidR="005A64B0" w:rsidP="0031467F" w:rsidRDefault="005A64B0" w14:paraId="542C42F2" w14:textId="2A5950A8">
    <w:pPr>
      <w:pStyle w:val="Header"/>
    </w:pPr>
    <w:r w:rsidRPr="009B0664">
      <w:rPr>
        <w:b/>
      </w:rPr>
      <w:t>PROCURADORIA FEDERAL JUNTO À AGÊNCIA NACIONAL DE TRANSPORTES TERRESTRES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A64B0" w:rsidP="0031467F" w:rsidRDefault="1E50428E" w14:paraId="26CFAE78" w14:textId="100DE1DF">
    <w:pPr>
      <w:jc w:val="center"/>
    </w:pPr>
    <w:r w:rsidR="224BE706">
      <w:drawing>
        <wp:inline wp14:editId="6D012D1C" wp14:anchorId="3C08703D">
          <wp:extent cx="372268" cy="396000"/>
          <wp:effectExtent l="0" t="0" r="8890" b="4445"/>
          <wp:docPr id="1" name="image1.jpeg" title=""/>
          <wp:cNvGraphicFramePr>
            <a:graphicFrameLocks noChangeAspect="1"/>
          </wp:cNvGraphicFramePr>
          <a:graphic>
            <a:graphicData uri="http://schemas.openxmlformats.org/drawingml/2006/picture">
              <pic:pic>
                <pic:nvPicPr>
                  <pic:cNvPr id="0" name="image1.jpeg"/>
                  <pic:cNvPicPr/>
                </pic:nvPicPr>
                <pic:blipFill>
                  <a:blip r:embed="R0bc785d036ed45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2268" cy="396000"/>
                  </a:xfrm>
                  <a:prstGeom prst="rect">
                    <a:avLst/>
                  </a:prstGeom>
                </pic:spPr>
              </pic:pic>
            </a:graphicData>
          </a:graphic>
        </wp:inline>
      </w:drawing>
    </w:r>
  </w:p>
  <w:p w:rsidRPr="0031467F" w:rsidR="005A64B0" w:rsidP="0031467F" w:rsidRDefault="005A64B0" w14:paraId="22B489B4" w14:textId="77777777">
    <w:pPr>
      <w:jc w:val="center"/>
      <w:rPr>
        <w:b/>
        <w:sz w:val="16"/>
        <w:szCs w:val="16"/>
      </w:rPr>
    </w:pPr>
    <w:r w:rsidRPr="0031467F">
      <w:rPr>
        <w:b/>
        <w:sz w:val="16"/>
        <w:szCs w:val="16"/>
      </w:rPr>
      <w:t>ADVOCACIA-GERAL DA UNIÃO</w:t>
    </w:r>
  </w:p>
  <w:p w:rsidRPr="0031467F" w:rsidR="005A64B0" w:rsidP="0031467F" w:rsidRDefault="005A64B0" w14:paraId="03138248" w14:textId="77777777">
    <w:pPr>
      <w:jc w:val="center"/>
      <w:rPr>
        <w:b/>
        <w:sz w:val="16"/>
        <w:szCs w:val="16"/>
      </w:rPr>
    </w:pPr>
    <w:r w:rsidRPr="0031467F">
      <w:rPr>
        <w:b/>
        <w:sz w:val="16"/>
        <w:szCs w:val="16"/>
      </w:rPr>
      <w:t>PROCURADORIA-GERAL FEDERAL</w:t>
    </w:r>
  </w:p>
  <w:p w:rsidR="005A64B0" w:rsidP="0031467F" w:rsidRDefault="005A64B0" w14:paraId="6E80F625" w14:textId="0E3A065C">
    <w:pPr>
      <w:pStyle w:val="Header"/>
      <w:jc w:val="center"/>
      <w:rPr>
        <w:b/>
        <w:sz w:val="16"/>
        <w:szCs w:val="16"/>
      </w:rPr>
    </w:pPr>
    <w:r w:rsidRPr="0031467F">
      <w:rPr>
        <w:b/>
        <w:sz w:val="16"/>
        <w:szCs w:val="16"/>
      </w:rPr>
      <w:t>PROCURADORIA FEDERAL JUNTO À AGÊNCIA NACIONAL DE TRANSPORTES TERRESTRES</w:t>
    </w:r>
  </w:p>
  <w:p w:rsidRPr="0031467F" w:rsidR="005A64B0" w:rsidP="0031467F" w:rsidRDefault="005A64B0" w14:paraId="6312A8CC" w14:textId="77777777">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BE4366"/>
    <w:multiLevelType w:val="hybridMultilevel"/>
    <w:tmpl w:val="B7FE1818"/>
    <w:lvl w:ilvl="0" w:tplc="AF96B868">
      <w:start w:val="1"/>
      <w:numFmt w:val="decimal"/>
      <w:lvlText w:val="%1."/>
      <w:lvlJc w:val="left"/>
      <w:pPr>
        <w:ind w:left="112" w:hanging="709"/>
      </w:pPr>
      <w:rPr>
        <w:rFonts w:hint="default" w:ascii="Times New Roman" w:hAnsi="Times New Roman" w:eastAsia="Times New Roman" w:cs="Times New Roman"/>
        <w:w w:val="100"/>
        <w:sz w:val="22"/>
        <w:szCs w:val="22"/>
        <w:lang w:val="pt-PT" w:eastAsia="en-US" w:bidi="ar-SA"/>
      </w:rPr>
    </w:lvl>
    <w:lvl w:ilvl="1" w:tplc="0320401C">
      <w:numFmt w:val="bullet"/>
      <w:lvlText w:val="•"/>
      <w:lvlJc w:val="left"/>
      <w:pPr>
        <w:ind w:left="1148" w:hanging="709"/>
      </w:pPr>
      <w:rPr>
        <w:rFonts w:hint="default"/>
        <w:lang w:val="pt-PT" w:eastAsia="en-US" w:bidi="ar-SA"/>
      </w:rPr>
    </w:lvl>
    <w:lvl w:ilvl="2" w:tplc="C480EDC8">
      <w:numFmt w:val="bullet"/>
      <w:lvlText w:val="•"/>
      <w:lvlJc w:val="left"/>
      <w:pPr>
        <w:ind w:left="2177" w:hanging="709"/>
      </w:pPr>
      <w:rPr>
        <w:rFonts w:hint="default"/>
        <w:lang w:val="pt-PT" w:eastAsia="en-US" w:bidi="ar-SA"/>
      </w:rPr>
    </w:lvl>
    <w:lvl w:ilvl="3" w:tplc="CBBEBEFE">
      <w:numFmt w:val="bullet"/>
      <w:lvlText w:val="•"/>
      <w:lvlJc w:val="left"/>
      <w:pPr>
        <w:ind w:left="3205" w:hanging="709"/>
      </w:pPr>
      <w:rPr>
        <w:rFonts w:hint="default"/>
        <w:lang w:val="pt-PT" w:eastAsia="en-US" w:bidi="ar-SA"/>
      </w:rPr>
    </w:lvl>
    <w:lvl w:ilvl="4" w:tplc="A8B83174">
      <w:numFmt w:val="bullet"/>
      <w:lvlText w:val="•"/>
      <w:lvlJc w:val="left"/>
      <w:pPr>
        <w:ind w:left="4234" w:hanging="709"/>
      </w:pPr>
      <w:rPr>
        <w:rFonts w:hint="default"/>
        <w:lang w:val="pt-PT" w:eastAsia="en-US" w:bidi="ar-SA"/>
      </w:rPr>
    </w:lvl>
    <w:lvl w:ilvl="5" w:tplc="7C6CC758">
      <w:numFmt w:val="bullet"/>
      <w:lvlText w:val="•"/>
      <w:lvlJc w:val="left"/>
      <w:pPr>
        <w:ind w:left="5263" w:hanging="709"/>
      </w:pPr>
      <w:rPr>
        <w:rFonts w:hint="default"/>
        <w:lang w:val="pt-PT" w:eastAsia="en-US" w:bidi="ar-SA"/>
      </w:rPr>
    </w:lvl>
    <w:lvl w:ilvl="6" w:tplc="260E4374">
      <w:numFmt w:val="bullet"/>
      <w:lvlText w:val="•"/>
      <w:lvlJc w:val="left"/>
      <w:pPr>
        <w:ind w:left="6291" w:hanging="709"/>
      </w:pPr>
      <w:rPr>
        <w:rFonts w:hint="default"/>
        <w:lang w:val="pt-PT" w:eastAsia="en-US" w:bidi="ar-SA"/>
      </w:rPr>
    </w:lvl>
    <w:lvl w:ilvl="7" w:tplc="08089486">
      <w:numFmt w:val="bullet"/>
      <w:lvlText w:val="•"/>
      <w:lvlJc w:val="left"/>
      <w:pPr>
        <w:ind w:left="7320" w:hanging="709"/>
      </w:pPr>
      <w:rPr>
        <w:rFonts w:hint="default"/>
        <w:lang w:val="pt-PT" w:eastAsia="en-US" w:bidi="ar-SA"/>
      </w:rPr>
    </w:lvl>
    <w:lvl w:ilvl="8" w:tplc="52BEA1F8">
      <w:numFmt w:val="bullet"/>
      <w:lvlText w:val="•"/>
      <w:lvlJc w:val="left"/>
      <w:pPr>
        <w:ind w:left="8349" w:hanging="709"/>
      </w:pPr>
      <w:rPr>
        <w:rFonts w:hint="default"/>
        <w:lang w:val="pt-PT" w:eastAsia="en-US" w:bidi="ar-SA"/>
      </w:rPr>
    </w:lvl>
  </w:abstractNum>
  <w:abstractNum w:abstractNumId="1" w15:restartNumberingAfterBreak="0">
    <w:nsid w:val="1FCB5654"/>
    <w:multiLevelType w:val="hybridMultilevel"/>
    <w:tmpl w:val="52308A44"/>
    <w:lvl w:ilvl="0" w:tplc="DFC89D58">
      <w:numFmt w:val="bullet"/>
      <w:lvlText w:val="-"/>
      <w:lvlJc w:val="left"/>
      <w:pPr>
        <w:ind w:left="240" w:hanging="128"/>
      </w:pPr>
      <w:rPr>
        <w:rFonts w:hint="default" w:ascii="Times New Roman" w:hAnsi="Times New Roman" w:eastAsia="Times New Roman" w:cs="Times New Roman"/>
        <w:w w:val="100"/>
        <w:sz w:val="22"/>
        <w:szCs w:val="22"/>
        <w:lang w:val="pt-PT" w:eastAsia="en-US" w:bidi="ar-SA"/>
      </w:rPr>
    </w:lvl>
    <w:lvl w:ilvl="1" w:tplc="A3C09C16">
      <w:numFmt w:val="bullet"/>
      <w:lvlText w:val="•"/>
      <w:lvlJc w:val="left"/>
      <w:pPr>
        <w:ind w:left="1256" w:hanging="128"/>
      </w:pPr>
      <w:rPr>
        <w:rFonts w:hint="default"/>
        <w:lang w:val="pt-PT" w:eastAsia="en-US" w:bidi="ar-SA"/>
      </w:rPr>
    </w:lvl>
    <w:lvl w:ilvl="2" w:tplc="965A8F94">
      <w:numFmt w:val="bullet"/>
      <w:lvlText w:val="•"/>
      <w:lvlJc w:val="left"/>
      <w:pPr>
        <w:ind w:left="2273" w:hanging="128"/>
      </w:pPr>
      <w:rPr>
        <w:rFonts w:hint="default"/>
        <w:lang w:val="pt-PT" w:eastAsia="en-US" w:bidi="ar-SA"/>
      </w:rPr>
    </w:lvl>
    <w:lvl w:ilvl="3" w:tplc="BC5E05E6">
      <w:numFmt w:val="bullet"/>
      <w:lvlText w:val="•"/>
      <w:lvlJc w:val="left"/>
      <w:pPr>
        <w:ind w:left="3289" w:hanging="128"/>
      </w:pPr>
      <w:rPr>
        <w:rFonts w:hint="default"/>
        <w:lang w:val="pt-PT" w:eastAsia="en-US" w:bidi="ar-SA"/>
      </w:rPr>
    </w:lvl>
    <w:lvl w:ilvl="4" w:tplc="CC86BE60">
      <w:numFmt w:val="bullet"/>
      <w:lvlText w:val="•"/>
      <w:lvlJc w:val="left"/>
      <w:pPr>
        <w:ind w:left="4306" w:hanging="128"/>
      </w:pPr>
      <w:rPr>
        <w:rFonts w:hint="default"/>
        <w:lang w:val="pt-PT" w:eastAsia="en-US" w:bidi="ar-SA"/>
      </w:rPr>
    </w:lvl>
    <w:lvl w:ilvl="5" w:tplc="0A26C7D6">
      <w:numFmt w:val="bullet"/>
      <w:lvlText w:val="•"/>
      <w:lvlJc w:val="left"/>
      <w:pPr>
        <w:ind w:left="5323" w:hanging="128"/>
      </w:pPr>
      <w:rPr>
        <w:rFonts w:hint="default"/>
        <w:lang w:val="pt-PT" w:eastAsia="en-US" w:bidi="ar-SA"/>
      </w:rPr>
    </w:lvl>
    <w:lvl w:ilvl="6" w:tplc="EA5E9584">
      <w:numFmt w:val="bullet"/>
      <w:lvlText w:val="•"/>
      <w:lvlJc w:val="left"/>
      <w:pPr>
        <w:ind w:left="6339" w:hanging="128"/>
      </w:pPr>
      <w:rPr>
        <w:rFonts w:hint="default"/>
        <w:lang w:val="pt-PT" w:eastAsia="en-US" w:bidi="ar-SA"/>
      </w:rPr>
    </w:lvl>
    <w:lvl w:ilvl="7" w:tplc="96A84C06">
      <w:numFmt w:val="bullet"/>
      <w:lvlText w:val="•"/>
      <w:lvlJc w:val="left"/>
      <w:pPr>
        <w:ind w:left="7356" w:hanging="128"/>
      </w:pPr>
      <w:rPr>
        <w:rFonts w:hint="default"/>
        <w:lang w:val="pt-PT" w:eastAsia="en-US" w:bidi="ar-SA"/>
      </w:rPr>
    </w:lvl>
    <w:lvl w:ilvl="8" w:tplc="DA7E8EF0">
      <w:numFmt w:val="bullet"/>
      <w:lvlText w:val="•"/>
      <w:lvlJc w:val="left"/>
      <w:pPr>
        <w:ind w:left="8373" w:hanging="128"/>
      </w:pPr>
      <w:rPr>
        <w:rFonts w:hint="default"/>
        <w:lang w:val="pt-PT" w:eastAsia="en-US" w:bidi="ar-SA"/>
      </w:rPr>
    </w:lvl>
  </w:abstractNum>
  <w:abstractNum w:abstractNumId="2" w15:restartNumberingAfterBreak="0">
    <w:nsid w:val="2E73371A"/>
    <w:multiLevelType w:val="hybridMultilevel"/>
    <w:tmpl w:val="7070D124"/>
    <w:lvl w:ilvl="0" w:tplc="E016687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338E1BB1"/>
    <w:multiLevelType w:val="hybridMultilevel"/>
    <w:tmpl w:val="24B0FD5A"/>
    <w:lvl w:ilvl="0" w:tplc="34E0D7BE">
      <w:start w:val="1"/>
      <w:numFmt w:val="upp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 w15:restartNumberingAfterBreak="0">
    <w:nsid w:val="68A962CB"/>
    <w:multiLevelType w:val="hybridMultilevel"/>
    <w:tmpl w:val="887C5CD4"/>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890952"/>
    <w:multiLevelType w:val="hybridMultilevel"/>
    <w:tmpl w:val="17986272"/>
    <w:lvl w:ilvl="0" w:tplc="04160001">
      <w:start w:val="1"/>
      <w:numFmt w:val="bullet"/>
      <w:lvlText w:val=""/>
      <w:lvlJc w:val="left"/>
      <w:pPr>
        <w:ind w:left="1440" w:hanging="360"/>
      </w:pPr>
      <w:rPr>
        <w:rFonts w:hint="default" w:ascii="Symbol" w:hAnsi="Symbol"/>
      </w:rPr>
    </w:lvl>
    <w:lvl w:ilvl="1" w:tplc="04160003" w:tentative="1">
      <w:start w:val="1"/>
      <w:numFmt w:val="bullet"/>
      <w:lvlText w:val="o"/>
      <w:lvlJc w:val="left"/>
      <w:pPr>
        <w:ind w:left="2160" w:hanging="360"/>
      </w:pPr>
      <w:rPr>
        <w:rFonts w:hint="default" w:ascii="Courier New" w:hAnsi="Courier New" w:cs="Courier New"/>
      </w:rPr>
    </w:lvl>
    <w:lvl w:ilvl="2" w:tplc="04160005" w:tentative="1">
      <w:start w:val="1"/>
      <w:numFmt w:val="bullet"/>
      <w:lvlText w:val=""/>
      <w:lvlJc w:val="left"/>
      <w:pPr>
        <w:ind w:left="2880" w:hanging="360"/>
      </w:pPr>
      <w:rPr>
        <w:rFonts w:hint="default" w:ascii="Wingdings" w:hAnsi="Wingdings"/>
      </w:rPr>
    </w:lvl>
    <w:lvl w:ilvl="3" w:tplc="04160001" w:tentative="1">
      <w:start w:val="1"/>
      <w:numFmt w:val="bullet"/>
      <w:lvlText w:val=""/>
      <w:lvlJc w:val="left"/>
      <w:pPr>
        <w:ind w:left="3600" w:hanging="360"/>
      </w:pPr>
      <w:rPr>
        <w:rFonts w:hint="default" w:ascii="Symbol" w:hAnsi="Symbol"/>
      </w:rPr>
    </w:lvl>
    <w:lvl w:ilvl="4" w:tplc="04160003" w:tentative="1">
      <w:start w:val="1"/>
      <w:numFmt w:val="bullet"/>
      <w:lvlText w:val="o"/>
      <w:lvlJc w:val="left"/>
      <w:pPr>
        <w:ind w:left="4320" w:hanging="360"/>
      </w:pPr>
      <w:rPr>
        <w:rFonts w:hint="default" w:ascii="Courier New" w:hAnsi="Courier New" w:cs="Courier New"/>
      </w:rPr>
    </w:lvl>
    <w:lvl w:ilvl="5" w:tplc="04160005" w:tentative="1">
      <w:start w:val="1"/>
      <w:numFmt w:val="bullet"/>
      <w:lvlText w:val=""/>
      <w:lvlJc w:val="left"/>
      <w:pPr>
        <w:ind w:left="5040" w:hanging="360"/>
      </w:pPr>
      <w:rPr>
        <w:rFonts w:hint="default" w:ascii="Wingdings" w:hAnsi="Wingdings"/>
      </w:rPr>
    </w:lvl>
    <w:lvl w:ilvl="6" w:tplc="04160001" w:tentative="1">
      <w:start w:val="1"/>
      <w:numFmt w:val="bullet"/>
      <w:lvlText w:val=""/>
      <w:lvlJc w:val="left"/>
      <w:pPr>
        <w:ind w:left="5760" w:hanging="360"/>
      </w:pPr>
      <w:rPr>
        <w:rFonts w:hint="default" w:ascii="Symbol" w:hAnsi="Symbol"/>
      </w:rPr>
    </w:lvl>
    <w:lvl w:ilvl="7" w:tplc="04160003" w:tentative="1">
      <w:start w:val="1"/>
      <w:numFmt w:val="bullet"/>
      <w:lvlText w:val="o"/>
      <w:lvlJc w:val="left"/>
      <w:pPr>
        <w:ind w:left="6480" w:hanging="360"/>
      </w:pPr>
      <w:rPr>
        <w:rFonts w:hint="default" w:ascii="Courier New" w:hAnsi="Courier New" w:cs="Courier New"/>
      </w:rPr>
    </w:lvl>
    <w:lvl w:ilvl="8" w:tplc="04160005" w:tentative="1">
      <w:start w:val="1"/>
      <w:numFmt w:val="bullet"/>
      <w:lvlText w:val=""/>
      <w:lvlJc w:val="left"/>
      <w:pPr>
        <w:ind w:left="7200" w:hanging="360"/>
      </w:pPr>
      <w:rPr>
        <w:rFonts w:hint="default" w:ascii="Wingdings" w:hAnsi="Wingdings"/>
      </w:rPr>
    </w:lvl>
  </w:abstractNum>
  <w:abstractNum w:abstractNumId="6" w15:restartNumberingAfterBreak="0">
    <w:nsid w:val="7EB81EF1"/>
    <w:multiLevelType w:val="hybridMultilevel"/>
    <w:tmpl w:val="152809B4"/>
    <w:lvl w:ilvl="0" w:tplc="D4D21C18">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7ED03F74"/>
    <w:multiLevelType w:val="hybridMultilevel"/>
    <w:tmpl w:val="B14681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2">
    <w:abstractNumId w:val="9"/>
  </w:num>
  <w:num w:numId="11">
    <w:abstractNumId w:val="8"/>
  </w:num>
  <w:num w:numId="1">
    <w:abstractNumId w:val="1"/>
  </w:num>
  <w:num w:numId="2">
    <w:abstractNumId w:val="0"/>
  </w:num>
  <w:num w:numId="3">
    <w:abstractNumId w:val="5"/>
  </w:num>
  <w:num w:numId="4">
    <w:abstractNumId w:val="2"/>
  </w:num>
  <w:num w:numId="5">
    <w:abstractNumId w:val="4"/>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people.xml><?xml version="1.0" encoding="utf-8"?>
<w15:people xmlns:mc="http://schemas.openxmlformats.org/markup-compatibility/2006" xmlns:w15="http://schemas.microsoft.com/office/word/2012/wordml" mc:Ignorable="w15">
  <w15:person w15:author="Priscila Cunha do Nascimento">
    <w15:presenceInfo w15:providerId="AD" w15:userId="S::priscila.nascimento@antt.gov.br::d9cb9922-3ee3-4532-bbf4-a44b06be0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CED"/>
    <w:rsid w:val="00000C72"/>
    <w:rsid w:val="00003459"/>
    <w:rsid w:val="00003817"/>
    <w:rsid w:val="0000713A"/>
    <w:rsid w:val="0000715F"/>
    <w:rsid w:val="00007D18"/>
    <w:rsid w:val="00013918"/>
    <w:rsid w:val="0001493E"/>
    <w:rsid w:val="000175C3"/>
    <w:rsid w:val="0002050E"/>
    <w:rsid w:val="0002452E"/>
    <w:rsid w:val="00024969"/>
    <w:rsid w:val="000270A4"/>
    <w:rsid w:val="00030CEB"/>
    <w:rsid w:val="00030E16"/>
    <w:rsid w:val="00031273"/>
    <w:rsid w:val="0003553F"/>
    <w:rsid w:val="000377CA"/>
    <w:rsid w:val="000409DE"/>
    <w:rsid w:val="000411A2"/>
    <w:rsid w:val="00054574"/>
    <w:rsid w:val="00071E51"/>
    <w:rsid w:val="00071F2D"/>
    <w:rsid w:val="0007200F"/>
    <w:rsid w:val="0007720D"/>
    <w:rsid w:val="00077EBD"/>
    <w:rsid w:val="00080EFC"/>
    <w:rsid w:val="00081A29"/>
    <w:rsid w:val="0008487F"/>
    <w:rsid w:val="000916AB"/>
    <w:rsid w:val="000934C9"/>
    <w:rsid w:val="0009675B"/>
    <w:rsid w:val="000A4415"/>
    <w:rsid w:val="000B0780"/>
    <w:rsid w:val="000B0C25"/>
    <w:rsid w:val="000B1ABC"/>
    <w:rsid w:val="000B2711"/>
    <w:rsid w:val="000C1134"/>
    <w:rsid w:val="000C34C4"/>
    <w:rsid w:val="000C5CB7"/>
    <w:rsid w:val="000C7BED"/>
    <w:rsid w:val="000D0192"/>
    <w:rsid w:val="000D2AA7"/>
    <w:rsid w:val="000D37C1"/>
    <w:rsid w:val="000D3CE8"/>
    <w:rsid w:val="000D5D87"/>
    <w:rsid w:val="000D605E"/>
    <w:rsid w:val="000D7F30"/>
    <w:rsid w:val="000E6339"/>
    <w:rsid w:val="000E7A37"/>
    <w:rsid w:val="000F2CC7"/>
    <w:rsid w:val="000F2FDF"/>
    <w:rsid w:val="000F7479"/>
    <w:rsid w:val="00100B2F"/>
    <w:rsid w:val="001010DD"/>
    <w:rsid w:val="0010165A"/>
    <w:rsid w:val="00105B13"/>
    <w:rsid w:val="00107298"/>
    <w:rsid w:val="0011299B"/>
    <w:rsid w:val="00113191"/>
    <w:rsid w:val="00114D5E"/>
    <w:rsid w:val="00116FF0"/>
    <w:rsid w:val="001172CE"/>
    <w:rsid w:val="00121A2C"/>
    <w:rsid w:val="00122B6E"/>
    <w:rsid w:val="001232EF"/>
    <w:rsid w:val="00124E34"/>
    <w:rsid w:val="001266D4"/>
    <w:rsid w:val="001273A6"/>
    <w:rsid w:val="00131EF2"/>
    <w:rsid w:val="00132FF6"/>
    <w:rsid w:val="001377E9"/>
    <w:rsid w:val="00141881"/>
    <w:rsid w:val="00143A9A"/>
    <w:rsid w:val="0014489C"/>
    <w:rsid w:val="00144A58"/>
    <w:rsid w:val="00144CA1"/>
    <w:rsid w:val="00145F25"/>
    <w:rsid w:val="00147A4C"/>
    <w:rsid w:val="001500CD"/>
    <w:rsid w:val="00151AE5"/>
    <w:rsid w:val="0015200E"/>
    <w:rsid w:val="00153222"/>
    <w:rsid w:val="0015468F"/>
    <w:rsid w:val="00162702"/>
    <w:rsid w:val="00164645"/>
    <w:rsid w:val="001661EE"/>
    <w:rsid w:val="00166DC9"/>
    <w:rsid w:val="00167860"/>
    <w:rsid w:val="00170560"/>
    <w:rsid w:val="00171BDC"/>
    <w:rsid w:val="001725BC"/>
    <w:rsid w:val="00181143"/>
    <w:rsid w:val="00192A78"/>
    <w:rsid w:val="001A06EF"/>
    <w:rsid w:val="001A5108"/>
    <w:rsid w:val="001A6299"/>
    <w:rsid w:val="001A63D1"/>
    <w:rsid w:val="001B0364"/>
    <w:rsid w:val="001B19C4"/>
    <w:rsid w:val="001B23B1"/>
    <w:rsid w:val="001B66F3"/>
    <w:rsid w:val="001C16CA"/>
    <w:rsid w:val="001C2046"/>
    <w:rsid w:val="001C3D2D"/>
    <w:rsid w:val="001C5131"/>
    <w:rsid w:val="001C57D8"/>
    <w:rsid w:val="001D1539"/>
    <w:rsid w:val="001D1F91"/>
    <w:rsid w:val="001E0C10"/>
    <w:rsid w:val="001E556E"/>
    <w:rsid w:val="001E5DD0"/>
    <w:rsid w:val="001E7CA4"/>
    <w:rsid w:val="001F52D5"/>
    <w:rsid w:val="001F6B35"/>
    <w:rsid w:val="00201634"/>
    <w:rsid w:val="00207875"/>
    <w:rsid w:val="0021379A"/>
    <w:rsid w:val="00214602"/>
    <w:rsid w:val="00215781"/>
    <w:rsid w:val="002178D0"/>
    <w:rsid w:val="00220E04"/>
    <w:rsid w:val="002249FF"/>
    <w:rsid w:val="002271C5"/>
    <w:rsid w:val="00227E84"/>
    <w:rsid w:val="0023102E"/>
    <w:rsid w:val="00233FD4"/>
    <w:rsid w:val="0023515D"/>
    <w:rsid w:val="002418D4"/>
    <w:rsid w:val="00242FE5"/>
    <w:rsid w:val="002452F0"/>
    <w:rsid w:val="00252DE0"/>
    <w:rsid w:val="002538DA"/>
    <w:rsid w:val="00262634"/>
    <w:rsid w:val="00262C4E"/>
    <w:rsid w:val="002633D4"/>
    <w:rsid w:val="002635CB"/>
    <w:rsid w:val="00267A99"/>
    <w:rsid w:val="00270A2C"/>
    <w:rsid w:val="00274B0E"/>
    <w:rsid w:val="002758D8"/>
    <w:rsid w:val="00275DC0"/>
    <w:rsid w:val="002767B1"/>
    <w:rsid w:val="00283525"/>
    <w:rsid w:val="00284254"/>
    <w:rsid w:val="0028708A"/>
    <w:rsid w:val="00293031"/>
    <w:rsid w:val="00296999"/>
    <w:rsid w:val="002A4053"/>
    <w:rsid w:val="002A423E"/>
    <w:rsid w:val="002B7934"/>
    <w:rsid w:val="002C0C89"/>
    <w:rsid w:val="002C5023"/>
    <w:rsid w:val="002C50D7"/>
    <w:rsid w:val="002C5F33"/>
    <w:rsid w:val="002C7665"/>
    <w:rsid w:val="002D70C0"/>
    <w:rsid w:val="002D74D3"/>
    <w:rsid w:val="002E01D5"/>
    <w:rsid w:val="002E1D80"/>
    <w:rsid w:val="002E6047"/>
    <w:rsid w:val="002F212B"/>
    <w:rsid w:val="002F2C18"/>
    <w:rsid w:val="003019B7"/>
    <w:rsid w:val="00301B9D"/>
    <w:rsid w:val="00301E81"/>
    <w:rsid w:val="00310E83"/>
    <w:rsid w:val="0031467F"/>
    <w:rsid w:val="00324AA2"/>
    <w:rsid w:val="00325431"/>
    <w:rsid w:val="00326C94"/>
    <w:rsid w:val="003273E8"/>
    <w:rsid w:val="003323E9"/>
    <w:rsid w:val="00333840"/>
    <w:rsid w:val="00334552"/>
    <w:rsid w:val="00336318"/>
    <w:rsid w:val="0034121A"/>
    <w:rsid w:val="003464C3"/>
    <w:rsid w:val="00346624"/>
    <w:rsid w:val="00352235"/>
    <w:rsid w:val="00353277"/>
    <w:rsid w:val="00354DC1"/>
    <w:rsid w:val="00355B0C"/>
    <w:rsid w:val="00357650"/>
    <w:rsid w:val="003578E7"/>
    <w:rsid w:val="00360ADF"/>
    <w:rsid w:val="00364014"/>
    <w:rsid w:val="003710B3"/>
    <w:rsid w:val="00372572"/>
    <w:rsid w:val="0037348B"/>
    <w:rsid w:val="00374398"/>
    <w:rsid w:val="00376F73"/>
    <w:rsid w:val="003805CB"/>
    <w:rsid w:val="00382019"/>
    <w:rsid w:val="00387BB9"/>
    <w:rsid w:val="003909C0"/>
    <w:rsid w:val="00391B0D"/>
    <w:rsid w:val="003935D8"/>
    <w:rsid w:val="00395BF3"/>
    <w:rsid w:val="003A4D3C"/>
    <w:rsid w:val="003B2C5B"/>
    <w:rsid w:val="003B4666"/>
    <w:rsid w:val="003B4891"/>
    <w:rsid w:val="003B4B08"/>
    <w:rsid w:val="003B4B1A"/>
    <w:rsid w:val="003B7E3E"/>
    <w:rsid w:val="003C3782"/>
    <w:rsid w:val="003C45A9"/>
    <w:rsid w:val="003C480D"/>
    <w:rsid w:val="003C5C4F"/>
    <w:rsid w:val="003C73DB"/>
    <w:rsid w:val="003D2BC1"/>
    <w:rsid w:val="003D3915"/>
    <w:rsid w:val="003D4EDA"/>
    <w:rsid w:val="003E1ED8"/>
    <w:rsid w:val="003E5877"/>
    <w:rsid w:val="003E6F94"/>
    <w:rsid w:val="003E74C1"/>
    <w:rsid w:val="003E750F"/>
    <w:rsid w:val="004007EF"/>
    <w:rsid w:val="00402309"/>
    <w:rsid w:val="004042E6"/>
    <w:rsid w:val="00407377"/>
    <w:rsid w:val="004128AE"/>
    <w:rsid w:val="0041601A"/>
    <w:rsid w:val="00424ED8"/>
    <w:rsid w:val="0042747A"/>
    <w:rsid w:val="0043157A"/>
    <w:rsid w:val="0043175B"/>
    <w:rsid w:val="00432C7D"/>
    <w:rsid w:val="00433701"/>
    <w:rsid w:val="004348E7"/>
    <w:rsid w:val="00436DFC"/>
    <w:rsid w:val="004443EC"/>
    <w:rsid w:val="004510C9"/>
    <w:rsid w:val="00452592"/>
    <w:rsid w:val="00456C62"/>
    <w:rsid w:val="004732F1"/>
    <w:rsid w:val="004750EE"/>
    <w:rsid w:val="00475D7A"/>
    <w:rsid w:val="00480E12"/>
    <w:rsid w:val="0048255E"/>
    <w:rsid w:val="00485725"/>
    <w:rsid w:val="00487ADB"/>
    <w:rsid w:val="00487B2C"/>
    <w:rsid w:val="004A0975"/>
    <w:rsid w:val="004A4CAF"/>
    <w:rsid w:val="004B579E"/>
    <w:rsid w:val="004B7221"/>
    <w:rsid w:val="004B765E"/>
    <w:rsid w:val="004C153C"/>
    <w:rsid w:val="004C6700"/>
    <w:rsid w:val="004C7DEF"/>
    <w:rsid w:val="004D25D0"/>
    <w:rsid w:val="004D2C6D"/>
    <w:rsid w:val="004D3F3A"/>
    <w:rsid w:val="004D439D"/>
    <w:rsid w:val="004E1D4D"/>
    <w:rsid w:val="004E3C7F"/>
    <w:rsid w:val="004E5B1D"/>
    <w:rsid w:val="004E6EE4"/>
    <w:rsid w:val="004E7EB5"/>
    <w:rsid w:val="004F3739"/>
    <w:rsid w:val="004F51EB"/>
    <w:rsid w:val="004F57CB"/>
    <w:rsid w:val="004F7C4B"/>
    <w:rsid w:val="00500BAB"/>
    <w:rsid w:val="0050296B"/>
    <w:rsid w:val="00502F96"/>
    <w:rsid w:val="00503C79"/>
    <w:rsid w:val="0050406A"/>
    <w:rsid w:val="0050408B"/>
    <w:rsid w:val="0050723C"/>
    <w:rsid w:val="005128A7"/>
    <w:rsid w:val="005158B5"/>
    <w:rsid w:val="005175BE"/>
    <w:rsid w:val="005217AA"/>
    <w:rsid w:val="00525502"/>
    <w:rsid w:val="00527252"/>
    <w:rsid w:val="00530E92"/>
    <w:rsid w:val="0053244D"/>
    <w:rsid w:val="00536505"/>
    <w:rsid w:val="0054056F"/>
    <w:rsid w:val="005420F5"/>
    <w:rsid w:val="005428B7"/>
    <w:rsid w:val="00543193"/>
    <w:rsid w:val="0054478D"/>
    <w:rsid w:val="005457EF"/>
    <w:rsid w:val="0054694B"/>
    <w:rsid w:val="005532C6"/>
    <w:rsid w:val="005571E0"/>
    <w:rsid w:val="00557CA3"/>
    <w:rsid w:val="00560535"/>
    <w:rsid w:val="00561682"/>
    <w:rsid w:val="0056464F"/>
    <w:rsid w:val="005657AA"/>
    <w:rsid w:val="00566096"/>
    <w:rsid w:val="00566FE3"/>
    <w:rsid w:val="00572B63"/>
    <w:rsid w:val="00573D8D"/>
    <w:rsid w:val="00575D14"/>
    <w:rsid w:val="005770B1"/>
    <w:rsid w:val="0058574E"/>
    <w:rsid w:val="00587921"/>
    <w:rsid w:val="0059392E"/>
    <w:rsid w:val="005A0E11"/>
    <w:rsid w:val="005A13E7"/>
    <w:rsid w:val="005A64B0"/>
    <w:rsid w:val="005B0809"/>
    <w:rsid w:val="005C0C65"/>
    <w:rsid w:val="005C6A52"/>
    <w:rsid w:val="005D3623"/>
    <w:rsid w:val="005D7AAD"/>
    <w:rsid w:val="005E013D"/>
    <w:rsid w:val="005E315E"/>
    <w:rsid w:val="005E5888"/>
    <w:rsid w:val="005E678D"/>
    <w:rsid w:val="005F3C8A"/>
    <w:rsid w:val="006030AB"/>
    <w:rsid w:val="0060562B"/>
    <w:rsid w:val="00611B8A"/>
    <w:rsid w:val="00611FF5"/>
    <w:rsid w:val="00613254"/>
    <w:rsid w:val="00614EB1"/>
    <w:rsid w:val="006178D1"/>
    <w:rsid w:val="00617EB0"/>
    <w:rsid w:val="00620B05"/>
    <w:rsid w:val="00621B2B"/>
    <w:rsid w:val="00623B58"/>
    <w:rsid w:val="00624789"/>
    <w:rsid w:val="00627FAA"/>
    <w:rsid w:val="00636CB1"/>
    <w:rsid w:val="00643CFC"/>
    <w:rsid w:val="0065062F"/>
    <w:rsid w:val="00652080"/>
    <w:rsid w:val="00652F59"/>
    <w:rsid w:val="00653401"/>
    <w:rsid w:val="0065349B"/>
    <w:rsid w:val="00653B8D"/>
    <w:rsid w:val="00655A16"/>
    <w:rsid w:val="00655CAD"/>
    <w:rsid w:val="00656652"/>
    <w:rsid w:val="0066081E"/>
    <w:rsid w:val="00663E25"/>
    <w:rsid w:val="00664541"/>
    <w:rsid w:val="00664F90"/>
    <w:rsid w:val="00665AD9"/>
    <w:rsid w:val="006664CA"/>
    <w:rsid w:val="0067124B"/>
    <w:rsid w:val="00673D7B"/>
    <w:rsid w:val="00677752"/>
    <w:rsid w:val="00682AB8"/>
    <w:rsid w:val="006928C3"/>
    <w:rsid w:val="0069487E"/>
    <w:rsid w:val="00695B81"/>
    <w:rsid w:val="00695C17"/>
    <w:rsid w:val="006968D3"/>
    <w:rsid w:val="00696A6E"/>
    <w:rsid w:val="00697F80"/>
    <w:rsid w:val="006A0A43"/>
    <w:rsid w:val="006A1AAC"/>
    <w:rsid w:val="006A4800"/>
    <w:rsid w:val="006B0328"/>
    <w:rsid w:val="006B4544"/>
    <w:rsid w:val="006C0859"/>
    <w:rsid w:val="006C4DAA"/>
    <w:rsid w:val="006C789A"/>
    <w:rsid w:val="006D2C17"/>
    <w:rsid w:val="006D7128"/>
    <w:rsid w:val="006E0B93"/>
    <w:rsid w:val="006E1E88"/>
    <w:rsid w:val="006E240D"/>
    <w:rsid w:val="006F0BCD"/>
    <w:rsid w:val="006F1480"/>
    <w:rsid w:val="006F1F69"/>
    <w:rsid w:val="006F2A01"/>
    <w:rsid w:val="006F4EF4"/>
    <w:rsid w:val="00705BA4"/>
    <w:rsid w:val="00705FEA"/>
    <w:rsid w:val="0070711E"/>
    <w:rsid w:val="0070724B"/>
    <w:rsid w:val="00707DCA"/>
    <w:rsid w:val="0071084B"/>
    <w:rsid w:val="00711472"/>
    <w:rsid w:val="007138E2"/>
    <w:rsid w:val="00717B9C"/>
    <w:rsid w:val="00720FD6"/>
    <w:rsid w:val="0072709D"/>
    <w:rsid w:val="007333DC"/>
    <w:rsid w:val="00734122"/>
    <w:rsid w:val="00735361"/>
    <w:rsid w:val="00737308"/>
    <w:rsid w:val="007376E2"/>
    <w:rsid w:val="00740CC7"/>
    <w:rsid w:val="00742481"/>
    <w:rsid w:val="007431B6"/>
    <w:rsid w:val="00752E17"/>
    <w:rsid w:val="007531F8"/>
    <w:rsid w:val="007573A7"/>
    <w:rsid w:val="007591F6"/>
    <w:rsid w:val="00760474"/>
    <w:rsid w:val="007604E5"/>
    <w:rsid w:val="0076788C"/>
    <w:rsid w:val="00772464"/>
    <w:rsid w:val="00773DC1"/>
    <w:rsid w:val="0078325E"/>
    <w:rsid w:val="00790E2D"/>
    <w:rsid w:val="00792A6C"/>
    <w:rsid w:val="00797BD0"/>
    <w:rsid w:val="007A1221"/>
    <w:rsid w:val="007A1C09"/>
    <w:rsid w:val="007A328E"/>
    <w:rsid w:val="007A4081"/>
    <w:rsid w:val="007A749C"/>
    <w:rsid w:val="007BCE1A"/>
    <w:rsid w:val="007C0487"/>
    <w:rsid w:val="007C1EE1"/>
    <w:rsid w:val="007C2E97"/>
    <w:rsid w:val="007C3550"/>
    <w:rsid w:val="007D0C43"/>
    <w:rsid w:val="007D4DB5"/>
    <w:rsid w:val="007E1270"/>
    <w:rsid w:val="007F2347"/>
    <w:rsid w:val="007F27CC"/>
    <w:rsid w:val="007F69E1"/>
    <w:rsid w:val="007F6D83"/>
    <w:rsid w:val="007F7481"/>
    <w:rsid w:val="007F7F6B"/>
    <w:rsid w:val="00801697"/>
    <w:rsid w:val="008036AE"/>
    <w:rsid w:val="00803E17"/>
    <w:rsid w:val="008042EF"/>
    <w:rsid w:val="00804392"/>
    <w:rsid w:val="00804B8A"/>
    <w:rsid w:val="0080687C"/>
    <w:rsid w:val="00810126"/>
    <w:rsid w:val="008139A9"/>
    <w:rsid w:val="00815FA0"/>
    <w:rsid w:val="00817E98"/>
    <w:rsid w:val="00825678"/>
    <w:rsid w:val="00831594"/>
    <w:rsid w:val="008336CC"/>
    <w:rsid w:val="00835895"/>
    <w:rsid w:val="00837916"/>
    <w:rsid w:val="00837CB7"/>
    <w:rsid w:val="00840B2C"/>
    <w:rsid w:val="00840EF9"/>
    <w:rsid w:val="00843AF9"/>
    <w:rsid w:val="00843CB2"/>
    <w:rsid w:val="0084439B"/>
    <w:rsid w:val="00846685"/>
    <w:rsid w:val="00846EFC"/>
    <w:rsid w:val="00847766"/>
    <w:rsid w:val="0085157F"/>
    <w:rsid w:val="00854939"/>
    <w:rsid w:val="00855C08"/>
    <w:rsid w:val="008641EC"/>
    <w:rsid w:val="00864507"/>
    <w:rsid w:val="00866670"/>
    <w:rsid w:val="00867E53"/>
    <w:rsid w:val="00870477"/>
    <w:rsid w:val="008714E7"/>
    <w:rsid w:val="008757FB"/>
    <w:rsid w:val="00877CF0"/>
    <w:rsid w:val="00880C3D"/>
    <w:rsid w:val="008810C6"/>
    <w:rsid w:val="008810D9"/>
    <w:rsid w:val="008815F4"/>
    <w:rsid w:val="008816BA"/>
    <w:rsid w:val="00882676"/>
    <w:rsid w:val="00882E5E"/>
    <w:rsid w:val="00884380"/>
    <w:rsid w:val="00886DEE"/>
    <w:rsid w:val="00887DD2"/>
    <w:rsid w:val="00891948"/>
    <w:rsid w:val="00893D16"/>
    <w:rsid w:val="00893FA9"/>
    <w:rsid w:val="008961EA"/>
    <w:rsid w:val="008A21DD"/>
    <w:rsid w:val="008A2EA5"/>
    <w:rsid w:val="008A44B6"/>
    <w:rsid w:val="008A479B"/>
    <w:rsid w:val="008A637B"/>
    <w:rsid w:val="008A75E4"/>
    <w:rsid w:val="008A770B"/>
    <w:rsid w:val="008B2C13"/>
    <w:rsid w:val="008B4EA9"/>
    <w:rsid w:val="008C0BB6"/>
    <w:rsid w:val="008C232F"/>
    <w:rsid w:val="008C416F"/>
    <w:rsid w:val="008C53F5"/>
    <w:rsid w:val="008C5597"/>
    <w:rsid w:val="008D10E7"/>
    <w:rsid w:val="008D11F2"/>
    <w:rsid w:val="008D5C66"/>
    <w:rsid w:val="008D7790"/>
    <w:rsid w:val="008E1F0D"/>
    <w:rsid w:val="008E3098"/>
    <w:rsid w:val="008E7B85"/>
    <w:rsid w:val="008F2218"/>
    <w:rsid w:val="008F2C43"/>
    <w:rsid w:val="008F324D"/>
    <w:rsid w:val="008F62A8"/>
    <w:rsid w:val="0090423F"/>
    <w:rsid w:val="00906F8C"/>
    <w:rsid w:val="00913550"/>
    <w:rsid w:val="00913A83"/>
    <w:rsid w:val="00917417"/>
    <w:rsid w:val="009228A4"/>
    <w:rsid w:val="00924C65"/>
    <w:rsid w:val="009260AC"/>
    <w:rsid w:val="00927A3F"/>
    <w:rsid w:val="00931560"/>
    <w:rsid w:val="00934218"/>
    <w:rsid w:val="0093426D"/>
    <w:rsid w:val="00934DBD"/>
    <w:rsid w:val="00935A0E"/>
    <w:rsid w:val="00937871"/>
    <w:rsid w:val="00941C2D"/>
    <w:rsid w:val="00944243"/>
    <w:rsid w:val="00945B91"/>
    <w:rsid w:val="0095003A"/>
    <w:rsid w:val="00950BCA"/>
    <w:rsid w:val="009545F6"/>
    <w:rsid w:val="00955BDE"/>
    <w:rsid w:val="00963D36"/>
    <w:rsid w:val="0096407F"/>
    <w:rsid w:val="009653E5"/>
    <w:rsid w:val="00970954"/>
    <w:rsid w:val="00974132"/>
    <w:rsid w:val="00974B6D"/>
    <w:rsid w:val="00975D12"/>
    <w:rsid w:val="00976E5C"/>
    <w:rsid w:val="00977107"/>
    <w:rsid w:val="00980804"/>
    <w:rsid w:val="009810D5"/>
    <w:rsid w:val="009820FE"/>
    <w:rsid w:val="009836AE"/>
    <w:rsid w:val="00983C73"/>
    <w:rsid w:val="00984D7D"/>
    <w:rsid w:val="00991B13"/>
    <w:rsid w:val="0099228E"/>
    <w:rsid w:val="0099381F"/>
    <w:rsid w:val="009962F1"/>
    <w:rsid w:val="009A1D19"/>
    <w:rsid w:val="009A2EF0"/>
    <w:rsid w:val="009A33D2"/>
    <w:rsid w:val="009A5983"/>
    <w:rsid w:val="009A5AB5"/>
    <w:rsid w:val="009A63AF"/>
    <w:rsid w:val="009A63D9"/>
    <w:rsid w:val="009B0664"/>
    <w:rsid w:val="009B202C"/>
    <w:rsid w:val="009B6C07"/>
    <w:rsid w:val="009B7DDC"/>
    <w:rsid w:val="009C0E9B"/>
    <w:rsid w:val="009C28B7"/>
    <w:rsid w:val="009C60E3"/>
    <w:rsid w:val="009D0E94"/>
    <w:rsid w:val="009E6F7F"/>
    <w:rsid w:val="009F2E8E"/>
    <w:rsid w:val="009F5E26"/>
    <w:rsid w:val="00A04FD3"/>
    <w:rsid w:val="00A11815"/>
    <w:rsid w:val="00A13143"/>
    <w:rsid w:val="00A13F30"/>
    <w:rsid w:val="00A174ED"/>
    <w:rsid w:val="00A20805"/>
    <w:rsid w:val="00A217D8"/>
    <w:rsid w:val="00A21F57"/>
    <w:rsid w:val="00A245A3"/>
    <w:rsid w:val="00A27E3F"/>
    <w:rsid w:val="00A33BCC"/>
    <w:rsid w:val="00A40417"/>
    <w:rsid w:val="00A442C7"/>
    <w:rsid w:val="00A477AC"/>
    <w:rsid w:val="00A4D14C"/>
    <w:rsid w:val="00A4E5B8"/>
    <w:rsid w:val="00A506EA"/>
    <w:rsid w:val="00A5559B"/>
    <w:rsid w:val="00A607A6"/>
    <w:rsid w:val="00A61801"/>
    <w:rsid w:val="00A643B6"/>
    <w:rsid w:val="00A694F0"/>
    <w:rsid w:val="00A7175E"/>
    <w:rsid w:val="00A77C96"/>
    <w:rsid w:val="00A81426"/>
    <w:rsid w:val="00A82705"/>
    <w:rsid w:val="00A83149"/>
    <w:rsid w:val="00A8359A"/>
    <w:rsid w:val="00A90659"/>
    <w:rsid w:val="00A90B9F"/>
    <w:rsid w:val="00A921E3"/>
    <w:rsid w:val="00A964D2"/>
    <w:rsid w:val="00A97182"/>
    <w:rsid w:val="00AA1CED"/>
    <w:rsid w:val="00AA34AD"/>
    <w:rsid w:val="00AA4225"/>
    <w:rsid w:val="00AA54EC"/>
    <w:rsid w:val="00AA5CB9"/>
    <w:rsid w:val="00AB13EA"/>
    <w:rsid w:val="00AB1657"/>
    <w:rsid w:val="00AB3CB6"/>
    <w:rsid w:val="00AB5144"/>
    <w:rsid w:val="00AB5557"/>
    <w:rsid w:val="00AB5E23"/>
    <w:rsid w:val="00AB66F2"/>
    <w:rsid w:val="00AB731D"/>
    <w:rsid w:val="00AC70CF"/>
    <w:rsid w:val="00AD2D5D"/>
    <w:rsid w:val="00AD3C74"/>
    <w:rsid w:val="00AD77C1"/>
    <w:rsid w:val="00AD7B4F"/>
    <w:rsid w:val="00AE1BE2"/>
    <w:rsid w:val="00AE1E72"/>
    <w:rsid w:val="00AE4789"/>
    <w:rsid w:val="00AE70E6"/>
    <w:rsid w:val="00AF1048"/>
    <w:rsid w:val="00AF1A79"/>
    <w:rsid w:val="00AF41FF"/>
    <w:rsid w:val="00AF503E"/>
    <w:rsid w:val="00AF7CD4"/>
    <w:rsid w:val="00AF7D8E"/>
    <w:rsid w:val="00B037DB"/>
    <w:rsid w:val="00B047C8"/>
    <w:rsid w:val="00B04E4E"/>
    <w:rsid w:val="00B05D32"/>
    <w:rsid w:val="00B066F1"/>
    <w:rsid w:val="00B15D30"/>
    <w:rsid w:val="00B202E0"/>
    <w:rsid w:val="00B23CAB"/>
    <w:rsid w:val="00B244E8"/>
    <w:rsid w:val="00B250FA"/>
    <w:rsid w:val="00B255B4"/>
    <w:rsid w:val="00B327D5"/>
    <w:rsid w:val="00B368F7"/>
    <w:rsid w:val="00B40584"/>
    <w:rsid w:val="00B411ED"/>
    <w:rsid w:val="00B43565"/>
    <w:rsid w:val="00B46625"/>
    <w:rsid w:val="00B5555D"/>
    <w:rsid w:val="00B66107"/>
    <w:rsid w:val="00B76131"/>
    <w:rsid w:val="00B801C1"/>
    <w:rsid w:val="00B81CE9"/>
    <w:rsid w:val="00B8597B"/>
    <w:rsid w:val="00B91916"/>
    <w:rsid w:val="00B95C0A"/>
    <w:rsid w:val="00B970D5"/>
    <w:rsid w:val="00BA1FF0"/>
    <w:rsid w:val="00BA274C"/>
    <w:rsid w:val="00BA3A2D"/>
    <w:rsid w:val="00BA6015"/>
    <w:rsid w:val="00BA7839"/>
    <w:rsid w:val="00BB4136"/>
    <w:rsid w:val="00BB41D7"/>
    <w:rsid w:val="00BB539E"/>
    <w:rsid w:val="00BB573E"/>
    <w:rsid w:val="00BB5CA4"/>
    <w:rsid w:val="00BB7FD6"/>
    <w:rsid w:val="00BC07A3"/>
    <w:rsid w:val="00BC1AE2"/>
    <w:rsid w:val="00BC1C48"/>
    <w:rsid w:val="00BC258A"/>
    <w:rsid w:val="00BC29CB"/>
    <w:rsid w:val="00BD07AA"/>
    <w:rsid w:val="00BD361B"/>
    <w:rsid w:val="00BD44F0"/>
    <w:rsid w:val="00BE1618"/>
    <w:rsid w:val="00BE3448"/>
    <w:rsid w:val="00BE3EC8"/>
    <w:rsid w:val="00BE501F"/>
    <w:rsid w:val="00BE731F"/>
    <w:rsid w:val="00BE7515"/>
    <w:rsid w:val="00BF0008"/>
    <w:rsid w:val="00BF18D7"/>
    <w:rsid w:val="00BF230E"/>
    <w:rsid w:val="00BF49F9"/>
    <w:rsid w:val="00BF54F9"/>
    <w:rsid w:val="00BF69A2"/>
    <w:rsid w:val="00C005FA"/>
    <w:rsid w:val="00C03737"/>
    <w:rsid w:val="00C03CED"/>
    <w:rsid w:val="00C049F6"/>
    <w:rsid w:val="00C10B7B"/>
    <w:rsid w:val="00C11E94"/>
    <w:rsid w:val="00C13286"/>
    <w:rsid w:val="00C16E4D"/>
    <w:rsid w:val="00C2067E"/>
    <w:rsid w:val="00C217A8"/>
    <w:rsid w:val="00C21B98"/>
    <w:rsid w:val="00C230A3"/>
    <w:rsid w:val="00C309B0"/>
    <w:rsid w:val="00C31537"/>
    <w:rsid w:val="00C31744"/>
    <w:rsid w:val="00C32B6C"/>
    <w:rsid w:val="00C3424D"/>
    <w:rsid w:val="00C37A03"/>
    <w:rsid w:val="00C40BD5"/>
    <w:rsid w:val="00C47F00"/>
    <w:rsid w:val="00C50061"/>
    <w:rsid w:val="00C555CB"/>
    <w:rsid w:val="00C56056"/>
    <w:rsid w:val="00C56698"/>
    <w:rsid w:val="00C6050F"/>
    <w:rsid w:val="00C658E3"/>
    <w:rsid w:val="00C6746A"/>
    <w:rsid w:val="00C7033E"/>
    <w:rsid w:val="00C716DC"/>
    <w:rsid w:val="00C7542A"/>
    <w:rsid w:val="00C75F83"/>
    <w:rsid w:val="00C77231"/>
    <w:rsid w:val="00C80D5F"/>
    <w:rsid w:val="00C90D8A"/>
    <w:rsid w:val="00C93092"/>
    <w:rsid w:val="00C93324"/>
    <w:rsid w:val="00C94877"/>
    <w:rsid w:val="00CA723B"/>
    <w:rsid w:val="00CB324F"/>
    <w:rsid w:val="00CB71A1"/>
    <w:rsid w:val="00CB7D77"/>
    <w:rsid w:val="00CC2017"/>
    <w:rsid w:val="00CC3ECC"/>
    <w:rsid w:val="00CC4047"/>
    <w:rsid w:val="00CD1F7D"/>
    <w:rsid w:val="00CD57BE"/>
    <w:rsid w:val="00CD6A14"/>
    <w:rsid w:val="00CE2CFD"/>
    <w:rsid w:val="00CE591C"/>
    <w:rsid w:val="00CE9B88"/>
    <w:rsid w:val="00CF3C8D"/>
    <w:rsid w:val="00CF6FA2"/>
    <w:rsid w:val="00D01B9F"/>
    <w:rsid w:val="00D04F6B"/>
    <w:rsid w:val="00D07AC7"/>
    <w:rsid w:val="00D12860"/>
    <w:rsid w:val="00D241AA"/>
    <w:rsid w:val="00D27991"/>
    <w:rsid w:val="00D31976"/>
    <w:rsid w:val="00D346E8"/>
    <w:rsid w:val="00D34EF2"/>
    <w:rsid w:val="00D35DBC"/>
    <w:rsid w:val="00D36847"/>
    <w:rsid w:val="00D36EF1"/>
    <w:rsid w:val="00D3737B"/>
    <w:rsid w:val="00D46C73"/>
    <w:rsid w:val="00D54E1F"/>
    <w:rsid w:val="00D56B68"/>
    <w:rsid w:val="00D56F44"/>
    <w:rsid w:val="00D57666"/>
    <w:rsid w:val="00D61A67"/>
    <w:rsid w:val="00D61F2A"/>
    <w:rsid w:val="00D62488"/>
    <w:rsid w:val="00D62FC5"/>
    <w:rsid w:val="00D63CF9"/>
    <w:rsid w:val="00D64755"/>
    <w:rsid w:val="00D674F6"/>
    <w:rsid w:val="00D7339C"/>
    <w:rsid w:val="00D74A24"/>
    <w:rsid w:val="00D759CD"/>
    <w:rsid w:val="00D77700"/>
    <w:rsid w:val="00D80329"/>
    <w:rsid w:val="00D80735"/>
    <w:rsid w:val="00D81EB8"/>
    <w:rsid w:val="00D8327E"/>
    <w:rsid w:val="00D85266"/>
    <w:rsid w:val="00D85840"/>
    <w:rsid w:val="00D85B64"/>
    <w:rsid w:val="00D865A1"/>
    <w:rsid w:val="00D87AA3"/>
    <w:rsid w:val="00D907EF"/>
    <w:rsid w:val="00D92287"/>
    <w:rsid w:val="00D92BA6"/>
    <w:rsid w:val="00D9683A"/>
    <w:rsid w:val="00D99507"/>
    <w:rsid w:val="00DA0AEA"/>
    <w:rsid w:val="00DA2B7F"/>
    <w:rsid w:val="00DA5C4F"/>
    <w:rsid w:val="00DA742D"/>
    <w:rsid w:val="00DB5010"/>
    <w:rsid w:val="00DC64EB"/>
    <w:rsid w:val="00DC7625"/>
    <w:rsid w:val="00DC7956"/>
    <w:rsid w:val="00DD10DE"/>
    <w:rsid w:val="00DD34BD"/>
    <w:rsid w:val="00DD55DB"/>
    <w:rsid w:val="00DE151C"/>
    <w:rsid w:val="00DE157F"/>
    <w:rsid w:val="00DE327A"/>
    <w:rsid w:val="00DE76A3"/>
    <w:rsid w:val="00DF31C0"/>
    <w:rsid w:val="00E004BD"/>
    <w:rsid w:val="00E00A19"/>
    <w:rsid w:val="00E05B49"/>
    <w:rsid w:val="00E10133"/>
    <w:rsid w:val="00E10C98"/>
    <w:rsid w:val="00E1186B"/>
    <w:rsid w:val="00E11AC8"/>
    <w:rsid w:val="00E138AB"/>
    <w:rsid w:val="00E207F0"/>
    <w:rsid w:val="00E25121"/>
    <w:rsid w:val="00E2621B"/>
    <w:rsid w:val="00E30E22"/>
    <w:rsid w:val="00E37976"/>
    <w:rsid w:val="00E41BDD"/>
    <w:rsid w:val="00E447F3"/>
    <w:rsid w:val="00E44FBF"/>
    <w:rsid w:val="00E4587C"/>
    <w:rsid w:val="00E45D8E"/>
    <w:rsid w:val="00E4CB0A"/>
    <w:rsid w:val="00E501D9"/>
    <w:rsid w:val="00E52FCC"/>
    <w:rsid w:val="00E55626"/>
    <w:rsid w:val="00E62FE6"/>
    <w:rsid w:val="00E64CB4"/>
    <w:rsid w:val="00E65CEB"/>
    <w:rsid w:val="00E71979"/>
    <w:rsid w:val="00E71B7D"/>
    <w:rsid w:val="00E733D8"/>
    <w:rsid w:val="00E809E3"/>
    <w:rsid w:val="00E80FDB"/>
    <w:rsid w:val="00E81ECD"/>
    <w:rsid w:val="00E82F2C"/>
    <w:rsid w:val="00E83C22"/>
    <w:rsid w:val="00E87551"/>
    <w:rsid w:val="00E905AD"/>
    <w:rsid w:val="00E9217E"/>
    <w:rsid w:val="00E9493B"/>
    <w:rsid w:val="00EA4E18"/>
    <w:rsid w:val="00EB19CA"/>
    <w:rsid w:val="00EB7803"/>
    <w:rsid w:val="00EC22B9"/>
    <w:rsid w:val="00EC77D1"/>
    <w:rsid w:val="00ED3514"/>
    <w:rsid w:val="00ED3F2B"/>
    <w:rsid w:val="00ED7FC1"/>
    <w:rsid w:val="00EE12EF"/>
    <w:rsid w:val="00EE4A7E"/>
    <w:rsid w:val="00EF1BAE"/>
    <w:rsid w:val="00EF1DAF"/>
    <w:rsid w:val="00F01012"/>
    <w:rsid w:val="00F01A22"/>
    <w:rsid w:val="00F0481B"/>
    <w:rsid w:val="00F04980"/>
    <w:rsid w:val="00F0550A"/>
    <w:rsid w:val="00F065A2"/>
    <w:rsid w:val="00F1242E"/>
    <w:rsid w:val="00F13177"/>
    <w:rsid w:val="00F24BEE"/>
    <w:rsid w:val="00F251DB"/>
    <w:rsid w:val="00F333F3"/>
    <w:rsid w:val="00F336C9"/>
    <w:rsid w:val="00F3758B"/>
    <w:rsid w:val="00F37F18"/>
    <w:rsid w:val="00F44F5C"/>
    <w:rsid w:val="00F475DF"/>
    <w:rsid w:val="00F5434A"/>
    <w:rsid w:val="00F567E7"/>
    <w:rsid w:val="00F57052"/>
    <w:rsid w:val="00F57656"/>
    <w:rsid w:val="00F63F4D"/>
    <w:rsid w:val="00F66485"/>
    <w:rsid w:val="00F66DB2"/>
    <w:rsid w:val="00F70CF1"/>
    <w:rsid w:val="00F71DEE"/>
    <w:rsid w:val="00F80900"/>
    <w:rsid w:val="00F81CBE"/>
    <w:rsid w:val="00F833B0"/>
    <w:rsid w:val="00F86EC7"/>
    <w:rsid w:val="00F87DD3"/>
    <w:rsid w:val="00F900DC"/>
    <w:rsid w:val="00F901EF"/>
    <w:rsid w:val="00F907EB"/>
    <w:rsid w:val="00F96166"/>
    <w:rsid w:val="00FA160C"/>
    <w:rsid w:val="00FA24FE"/>
    <w:rsid w:val="00FA3FCD"/>
    <w:rsid w:val="00FA5AC8"/>
    <w:rsid w:val="00FA7081"/>
    <w:rsid w:val="00FB133C"/>
    <w:rsid w:val="00FB1735"/>
    <w:rsid w:val="00FB1A9D"/>
    <w:rsid w:val="00FB5EEB"/>
    <w:rsid w:val="00FB64FE"/>
    <w:rsid w:val="00FB71BF"/>
    <w:rsid w:val="00FC1FFD"/>
    <w:rsid w:val="00FC21E7"/>
    <w:rsid w:val="00FC238D"/>
    <w:rsid w:val="00FC645D"/>
    <w:rsid w:val="00FD0C01"/>
    <w:rsid w:val="00FD17FF"/>
    <w:rsid w:val="00FD2BEB"/>
    <w:rsid w:val="00FD2D7C"/>
    <w:rsid w:val="00FE0628"/>
    <w:rsid w:val="00FE470B"/>
    <w:rsid w:val="00FE4832"/>
    <w:rsid w:val="00FE6653"/>
    <w:rsid w:val="00FE6801"/>
    <w:rsid w:val="00FF0C9D"/>
    <w:rsid w:val="00FF21EC"/>
    <w:rsid w:val="00FF28E5"/>
    <w:rsid w:val="00FF3F0F"/>
    <w:rsid w:val="00FF5FD0"/>
    <w:rsid w:val="00FF6CAE"/>
    <w:rsid w:val="0114A54B"/>
    <w:rsid w:val="015AD2DE"/>
    <w:rsid w:val="01672F8C"/>
    <w:rsid w:val="01683091"/>
    <w:rsid w:val="01DA18D9"/>
    <w:rsid w:val="02112F86"/>
    <w:rsid w:val="0212B4C7"/>
    <w:rsid w:val="02328C6F"/>
    <w:rsid w:val="0234F50B"/>
    <w:rsid w:val="02754BDF"/>
    <w:rsid w:val="02BE6726"/>
    <w:rsid w:val="02C64DD9"/>
    <w:rsid w:val="02E5FF1E"/>
    <w:rsid w:val="03010579"/>
    <w:rsid w:val="03515003"/>
    <w:rsid w:val="0374890A"/>
    <w:rsid w:val="0375F0C0"/>
    <w:rsid w:val="03898039"/>
    <w:rsid w:val="03B2E8BC"/>
    <w:rsid w:val="03CB4BA3"/>
    <w:rsid w:val="03EC62FD"/>
    <w:rsid w:val="041C5485"/>
    <w:rsid w:val="0450FEAB"/>
    <w:rsid w:val="0453E043"/>
    <w:rsid w:val="048DC1DF"/>
    <w:rsid w:val="04B326B3"/>
    <w:rsid w:val="04EB53DD"/>
    <w:rsid w:val="054D4E3D"/>
    <w:rsid w:val="05815E46"/>
    <w:rsid w:val="05A2F67D"/>
    <w:rsid w:val="05AD386B"/>
    <w:rsid w:val="05C1BC15"/>
    <w:rsid w:val="060BF76E"/>
    <w:rsid w:val="06271F59"/>
    <w:rsid w:val="062D0C62"/>
    <w:rsid w:val="069E3520"/>
    <w:rsid w:val="06F17361"/>
    <w:rsid w:val="06F56E19"/>
    <w:rsid w:val="07087141"/>
    <w:rsid w:val="0716C92A"/>
    <w:rsid w:val="0728329A"/>
    <w:rsid w:val="077DD513"/>
    <w:rsid w:val="0786DE76"/>
    <w:rsid w:val="0806B924"/>
    <w:rsid w:val="085FB8EE"/>
    <w:rsid w:val="087EF279"/>
    <w:rsid w:val="0958050B"/>
    <w:rsid w:val="095A3615"/>
    <w:rsid w:val="0962947F"/>
    <w:rsid w:val="0A0EBB0F"/>
    <w:rsid w:val="0A3959F9"/>
    <w:rsid w:val="0A4C86B4"/>
    <w:rsid w:val="0AA1FA8D"/>
    <w:rsid w:val="0AB575D5"/>
    <w:rsid w:val="0ABE4F16"/>
    <w:rsid w:val="0AC6DF72"/>
    <w:rsid w:val="0AF365FB"/>
    <w:rsid w:val="0B2BAA00"/>
    <w:rsid w:val="0B92EDD9"/>
    <w:rsid w:val="0B9EF502"/>
    <w:rsid w:val="0BBD48C5"/>
    <w:rsid w:val="0C0BE843"/>
    <w:rsid w:val="0C16913A"/>
    <w:rsid w:val="0C4D4B33"/>
    <w:rsid w:val="0C5D9CAC"/>
    <w:rsid w:val="0C680CC0"/>
    <w:rsid w:val="0C8C9A24"/>
    <w:rsid w:val="0CAA7E1F"/>
    <w:rsid w:val="0CDBA512"/>
    <w:rsid w:val="0D0373EE"/>
    <w:rsid w:val="0D2AC3EA"/>
    <w:rsid w:val="0D342C87"/>
    <w:rsid w:val="0D3FA0C1"/>
    <w:rsid w:val="0D67F63C"/>
    <w:rsid w:val="0DF193F3"/>
    <w:rsid w:val="0DF6114F"/>
    <w:rsid w:val="0E1095F9"/>
    <w:rsid w:val="0E17B639"/>
    <w:rsid w:val="0E29B0A6"/>
    <w:rsid w:val="0E57D8A5"/>
    <w:rsid w:val="0E65FD46"/>
    <w:rsid w:val="0E76BF53"/>
    <w:rsid w:val="0EA960CE"/>
    <w:rsid w:val="0EE6B7AC"/>
    <w:rsid w:val="0F3294A5"/>
    <w:rsid w:val="0F6736A5"/>
    <w:rsid w:val="0F7EE19E"/>
    <w:rsid w:val="0F94B6E7"/>
    <w:rsid w:val="0F997774"/>
    <w:rsid w:val="0FB5B411"/>
    <w:rsid w:val="0FCDEC24"/>
    <w:rsid w:val="0FCEC4A4"/>
    <w:rsid w:val="0FE06EEC"/>
    <w:rsid w:val="10025F5A"/>
    <w:rsid w:val="101E3B56"/>
    <w:rsid w:val="1027D4F8"/>
    <w:rsid w:val="104D9AD9"/>
    <w:rsid w:val="1078C987"/>
    <w:rsid w:val="108B68C8"/>
    <w:rsid w:val="10D66D86"/>
    <w:rsid w:val="10F9F623"/>
    <w:rsid w:val="10FA61D4"/>
    <w:rsid w:val="111489B4"/>
    <w:rsid w:val="112A957B"/>
    <w:rsid w:val="1175C6DF"/>
    <w:rsid w:val="1184867C"/>
    <w:rsid w:val="11988224"/>
    <w:rsid w:val="1215FC72"/>
    <w:rsid w:val="12459F0C"/>
    <w:rsid w:val="1246F53A"/>
    <w:rsid w:val="1256D9E3"/>
    <w:rsid w:val="12711649"/>
    <w:rsid w:val="1286E83A"/>
    <w:rsid w:val="1287A8D7"/>
    <w:rsid w:val="129B8E67"/>
    <w:rsid w:val="12ABACF8"/>
    <w:rsid w:val="12ACBEEC"/>
    <w:rsid w:val="130D92F9"/>
    <w:rsid w:val="131997B2"/>
    <w:rsid w:val="13224240"/>
    <w:rsid w:val="132AA298"/>
    <w:rsid w:val="138517BE"/>
    <w:rsid w:val="14194745"/>
    <w:rsid w:val="14539B3C"/>
    <w:rsid w:val="14757B72"/>
    <w:rsid w:val="14BD5599"/>
    <w:rsid w:val="151584D0"/>
    <w:rsid w:val="1515AEC5"/>
    <w:rsid w:val="157A3982"/>
    <w:rsid w:val="1585A8EA"/>
    <w:rsid w:val="160023C3"/>
    <w:rsid w:val="162E5E1F"/>
    <w:rsid w:val="163BF07B"/>
    <w:rsid w:val="166C8F94"/>
    <w:rsid w:val="167413EE"/>
    <w:rsid w:val="1691A6FF"/>
    <w:rsid w:val="16AA9422"/>
    <w:rsid w:val="16D8C872"/>
    <w:rsid w:val="16E17474"/>
    <w:rsid w:val="172B5F0F"/>
    <w:rsid w:val="174166B9"/>
    <w:rsid w:val="17DB9142"/>
    <w:rsid w:val="181354E8"/>
    <w:rsid w:val="1824845C"/>
    <w:rsid w:val="183107DB"/>
    <w:rsid w:val="18676A9F"/>
    <w:rsid w:val="188C9E9C"/>
    <w:rsid w:val="18ACF30A"/>
    <w:rsid w:val="18AEF6DB"/>
    <w:rsid w:val="18BD1D5B"/>
    <w:rsid w:val="18D68E10"/>
    <w:rsid w:val="194B9BC9"/>
    <w:rsid w:val="194FBD69"/>
    <w:rsid w:val="195812A0"/>
    <w:rsid w:val="19618E81"/>
    <w:rsid w:val="199153C6"/>
    <w:rsid w:val="19E234E4"/>
    <w:rsid w:val="19F55958"/>
    <w:rsid w:val="1A1EAA1F"/>
    <w:rsid w:val="1A31F628"/>
    <w:rsid w:val="1A49E893"/>
    <w:rsid w:val="1A50AF56"/>
    <w:rsid w:val="1A8C8B6A"/>
    <w:rsid w:val="1AF63941"/>
    <w:rsid w:val="1AF97D15"/>
    <w:rsid w:val="1B287AB9"/>
    <w:rsid w:val="1B58FFFB"/>
    <w:rsid w:val="1B71BD87"/>
    <w:rsid w:val="1B85A2B5"/>
    <w:rsid w:val="1BD4AF23"/>
    <w:rsid w:val="1BE6E4B6"/>
    <w:rsid w:val="1C05F306"/>
    <w:rsid w:val="1C19AE2E"/>
    <w:rsid w:val="1C2B08B0"/>
    <w:rsid w:val="1C664DC5"/>
    <w:rsid w:val="1CB4722D"/>
    <w:rsid w:val="1CBA5F36"/>
    <w:rsid w:val="1CD1F36F"/>
    <w:rsid w:val="1CF2E5E8"/>
    <w:rsid w:val="1CFDC200"/>
    <w:rsid w:val="1D19D5A6"/>
    <w:rsid w:val="1D3A1710"/>
    <w:rsid w:val="1D58AF19"/>
    <w:rsid w:val="1DACCC9D"/>
    <w:rsid w:val="1DCBC828"/>
    <w:rsid w:val="1E1A1135"/>
    <w:rsid w:val="1E333775"/>
    <w:rsid w:val="1E4227A6"/>
    <w:rsid w:val="1E50428E"/>
    <w:rsid w:val="1E74A3F4"/>
    <w:rsid w:val="1E845745"/>
    <w:rsid w:val="1E952897"/>
    <w:rsid w:val="1EB2D4DE"/>
    <w:rsid w:val="1F12E73D"/>
    <w:rsid w:val="1F35C20F"/>
    <w:rsid w:val="1F5948D3"/>
    <w:rsid w:val="1F74A78E"/>
    <w:rsid w:val="1F788920"/>
    <w:rsid w:val="1F890930"/>
    <w:rsid w:val="1FAB7D26"/>
    <w:rsid w:val="1FAF6525"/>
    <w:rsid w:val="1FB653CD"/>
    <w:rsid w:val="1FC7156B"/>
    <w:rsid w:val="1FCBC011"/>
    <w:rsid w:val="2014BAB1"/>
    <w:rsid w:val="2032D3F1"/>
    <w:rsid w:val="205D7006"/>
    <w:rsid w:val="206E00CC"/>
    <w:rsid w:val="209427A2"/>
    <w:rsid w:val="209BBD04"/>
    <w:rsid w:val="20DD56E8"/>
    <w:rsid w:val="210F5B0D"/>
    <w:rsid w:val="213FC84C"/>
    <w:rsid w:val="21659C40"/>
    <w:rsid w:val="21793ABA"/>
    <w:rsid w:val="218164AE"/>
    <w:rsid w:val="218D2F53"/>
    <w:rsid w:val="21917EE2"/>
    <w:rsid w:val="21A011E7"/>
    <w:rsid w:val="21D051B4"/>
    <w:rsid w:val="21D06A73"/>
    <w:rsid w:val="224BE706"/>
    <w:rsid w:val="224D7B1A"/>
    <w:rsid w:val="227D7D2E"/>
    <w:rsid w:val="22A3C05A"/>
    <w:rsid w:val="22A439DE"/>
    <w:rsid w:val="22C37422"/>
    <w:rsid w:val="2303D044"/>
    <w:rsid w:val="23048EFA"/>
    <w:rsid w:val="232F1848"/>
    <w:rsid w:val="239700DB"/>
    <w:rsid w:val="2397B291"/>
    <w:rsid w:val="23A77814"/>
    <w:rsid w:val="2403A52A"/>
    <w:rsid w:val="2408B42D"/>
    <w:rsid w:val="24339854"/>
    <w:rsid w:val="243BE936"/>
    <w:rsid w:val="244364F0"/>
    <w:rsid w:val="248DE1DB"/>
    <w:rsid w:val="24AA4D81"/>
    <w:rsid w:val="24B0859F"/>
    <w:rsid w:val="24FEA60F"/>
    <w:rsid w:val="254FA044"/>
    <w:rsid w:val="25561133"/>
    <w:rsid w:val="25A6AF30"/>
    <w:rsid w:val="25ADAB9E"/>
    <w:rsid w:val="25DB2355"/>
    <w:rsid w:val="260F16A0"/>
    <w:rsid w:val="263CB20B"/>
    <w:rsid w:val="2649C222"/>
    <w:rsid w:val="26B09360"/>
    <w:rsid w:val="26D21A50"/>
    <w:rsid w:val="26D51E0E"/>
    <w:rsid w:val="26DB5480"/>
    <w:rsid w:val="26F7400F"/>
    <w:rsid w:val="26FA1827"/>
    <w:rsid w:val="27160B9C"/>
    <w:rsid w:val="278A229D"/>
    <w:rsid w:val="27AD4A7D"/>
    <w:rsid w:val="27AD676C"/>
    <w:rsid w:val="27D5C001"/>
    <w:rsid w:val="27E66739"/>
    <w:rsid w:val="27EB43E1"/>
    <w:rsid w:val="289C5455"/>
    <w:rsid w:val="28E46925"/>
    <w:rsid w:val="2912BDCF"/>
    <w:rsid w:val="29271CF9"/>
    <w:rsid w:val="294549FD"/>
    <w:rsid w:val="295A79E2"/>
    <w:rsid w:val="296FF23A"/>
    <w:rsid w:val="2972A257"/>
    <w:rsid w:val="297A8FDD"/>
    <w:rsid w:val="2981BACE"/>
    <w:rsid w:val="2991CA74"/>
    <w:rsid w:val="29C72429"/>
    <w:rsid w:val="29DB32AD"/>
    <w:rsid w:val="29DF3051"/>
    <w:rsid w:val="29FE4FC8"/>
    <w:rsid w:val="29FED74B"/>
    <w:rsid w:val="2A4DAC5E"/>
    <w:rsid w:val="2A9FA0FF"/>
    <w:rsid w:val="2AADC4B1"/>
    <w:rsid w:val="2B0D77EB"/>
    <w:rsid w:val="2B0EE229"/>
    <w:rsid w:val="2B15740E"/>
    <w:rsid w:val="2B200ECF"/>
    <w:rsid w:val="2B29E3C0"/>
    <w:rsid w:val="2B5C0E01"/>
    <w:rsid w:val="2B6204EE"/>
    <w:rsid w:val="2B6C41DB"/>
    <w:rsid w:val="2BF11559"/>
    <w:rsid w:val="2C019590"/>
    <w:rsid w:val="2C02A51C"/>
    <w:rsid w:val="2C1009D9"/>
    <w:rsid w:val="2C29A2BE"/>
    <w:rsid w:val="2C45073D"/>
    <w:rsid w:val="2C75477B"/>
    <w:rsid w:val="2CAA4319"/>
    <w:rsid w:val="2CC52977"/>
    <w:rsid w:val="2CCBF0F3"/>
    <w:rsid w:val="2CFDFBC0"/>
    <w:rsid w:val="2D40F173"/>
    <w:rsid w:val="2D452EC1"/>
    <w:rsid w:val="2D55F95E"/>
    <w:rsid w:val="2D6C86DF"/>
    <w:rsid w:val="2D755DDF"/>
    <w:rsid w:val="2D7BC16B"/>
    <w:rsid w:val="2DA44D5B"/>
    <w:rsid w:val="2DB9B2E8"/>
    <w:rsid w:val="2DEAF15F"/>
    <w:rsid w:val="2DFA1C45"/>
    <w:rsid w:val="2E4B58A8"/>
    <w:rsid w:val="2E54E60B"/>
    <w:rsid w:val="2EA303D6"/>
    <w:rsid w:val="2EA7A003"/>
    <w:rsid w:val="2EADEF88"/>
    <w:rsid w:val="2ED969EC"/>
    <w:rsid w:val="2EDFF770"/>
    <w:rsid w:val="2EED47C0"/>
    <w:rsid w:val="2F211D81"/>
    <w:rsid w:val="2F25F4BF"/>
    <w:rsid w:val="2F325858"/>
    <w:rsid w:val="2F974CC3"/>
    <w:rsid w:val="2FA8A67E"/>
    <w:rsid w:val="2FE91B75"/>
    <w:rsid w:val="2FF78D86"/>
    <w:rsid w:val="2FFE576E"/>
    <w:rsid w:val="302509CB"/>
    <w:rsid w:val="3029BF71"/>
    <w:rsid w:val="3032C364"/>
    <w:rsid w:val="3040D808"/>
    <w:rsid w:val="306250CE"/>
    <w:rsid w:val="30BBF46B"/>
    <w:rsid w:val="30DC8BD9"/>
    <w:rsid w:val="31082F6B"/>
    <w:rsid w:val="3119D906"/>
    <w:rsid w:val="31257ED7"/>
    <w:rsid w:val="313E7243"/>
    <w:rsid w:val="317B041F"/>
    <w:rsid w:val="31BB6881"/>
    <w:rsid w:val="31C7F826"/>
    <w:rsid w:val="31E06657"/>
    <w:rsid w:val="320307DC"/>
    <w:rsid w:val="3248CF02"/>
    <w:rsid w:val="328A9F8C"/>
    <w:rsid w:val="332BBFDB"/>
    <w:rsid w:val="33BA4612"/>
    <w:rsid w:val="33C769E4"/>
    <w:rsid w:val="33ED04A5"/>
    <w:rsid w:val="33FDF1CE"/>
    <w:rsid w:val="3409512F"/>
    <w:rsid w:val="34B4A3A8"/>
    <w:rsid w:val="34E71902"/>
    <w:rsid w:val="34F08E62"/>
    <w:rsid w:val="34FD1DE2"/>
    <w:rsid w:val="350238AA"/>
    <w:rsid w:val="351EA3EF"/>
    <w:rsid w:val="353C7F8C"/>
    <w:rsid w:val="35635FBB"/>
    <w:rsid w:val="357989F0"/>
    <w:rsid w:val="3586127F"/>
    <w:rsid w:val="35A5CEA4"/>
    <w:rsid w:val="35FCF486"/>
    <w:rsid w:val="36028AFE"/>
    <w:rsid w:val="36343502"/>
    <w:rsid w:val="364AD855"/>
    <w:rsid w:val="368ECAD5"/>
    <w:rsid w:val="36AE15BB"/>
    <w:rsid w:val="36B869F5"/>
    <w:rsid w:val="36BFA78B"/>
    <w:rsid w:val="36DC20A2"/>
    <w:rsid w:val="372B35D0"/>
    <w:rsid w:val="37402756"/>
    <w:rsid w:val="375E10AF"/>
    <w:rsid w:val="37C34263"/>
    <w:rsid w:val="37F07759"/>
    <w:rsid w:val="37F2CD99"/>
    <w:rsid w:val="382F8732"/>
    <w:rsid w:val="3830BDBF"/>
    <w:rsid w:val="383CC35B"/>
    <w:rsid w:val="38603C0C"/>
    <w:rsid w:val="3885F91B"/>
    <w:rsid w:val="388FB1EC"/>
    <w:rsid w:val="389BA061"/>
    <w:rsid w:val="38A12748"/>
    <w:rsid w:val="38B3D64D"/>
    <w:rsid w:val="38D1D11F"/>
    <w:rsid w:val="38D356CA"/>
    <w:rsid w:val="38EC6EAE"/>
    <w:rsid w:val="38F91EDB"/>
    <w:rsid w:val="38F9E110"/>
    <w:rsid w:val="394D46AD"/>
    <w:rsid w:val="395F12C4"/>
    <w:rsid w:val="3962C764"/>
    <w:rsid w:val="39E625EE"/>
    <w:rsid w:val="39F76D4C"/>
    <w:rsid w:val="3A20C6DF"/>
    <w:rsid w:val="3A3AB88A"/>
    <w:rsid w:val="3A478916"/>
    <w:rsid w:val="3A52889E"/>
    <w:rsid w:val="3A63D028"/>
    <w:rsid w:val="3A6BBDAE"/>
    <w:rsid w:val="3A6EE5A5"/>
    <w:rsid w:val="3A883F0F"/>
    <w:rsid w:val="3A965D50"/>
    <w:rsid w:val="3A974D9E"/>
    <w:rsid w:val="3AD7DC37"/>
    <w:rsid w:val="3AE5CF60"/>
    <w:rsid w:val="3AFE3CBD"/>
    <w:rsid w:val="3B465844"/>
    <w:rsid w:val="3B5179CB"/>
    <w:rsid w:val="3B57931B"/>
    <w:rsid w:val="3B6A0CAC"/>
    <w:rsid w:val="3BA0F855"/>
    <w:rsid w:val="3BA6FBB3"/>
    <w:rsid w:val="3BC75DA4"/>
    <w:rsid w:val="3C2570FF"/>
    <w:rsid w:val="3C322DB1"/>
    <w:rsid w:val="3C488BDC"/>
    <w:rsid w:val="3C73AA45"/>
    <w:rsid w:val="3C8F83C0"/>
    <w:rsid w:val="3CB3806D"/>
    <w:rsid w:val="3CB61117"/>
    <w:rsid w:val="3CC14521"/>
    <w:rsid w:val="3D08042F"/>
    <w:rsid w:val="3D1BBA06"/>
    <w:rsid w:val="3D331C82"/>
    <w:rsid w:val="3DCA67B2"/>
    <w:rsid w:val="3DD12B94"/>
    <w:rsid w:val="3DE8B7EB"/>
    <w:rsid w:val="3DFBC5AA"/>
    <w:rsid w:val="3DFEE0CA"/>
    <w:rsid w:val="3E134541"/>
    <w:rsid w:val="3E2A5500"/>
    <w:rsid w:val="3E2FEA40"/>
    <w:rsid w:val="3E42A04E"/>
    <w:rsid w:val="3E61EA12"/>
    <w:rsid w:val="3E8F33DD"/>
    <w:rsid w:val="3EFB5266"/>
    <w:rsid w:val="3F03DC8C"/>
    <w:rsid w:val="3F040302"/>
    <w:rsid w:val="3F34BC2D"/>
    <w:rsid w:val="3F527EB6"/>
    <w:rsid w:val="3F6EF2DB"/>
    <w:rsid w:val="3F9545B0"/>
    <w:rsid w:val="3F9C9C01"/>
    <w:rsid w:val="3FAB4D5A"/>
    <w:rsid w:val="3FC9031C"/>
    <w:rsid w:val="402A94CD"/>
    <w:rsid w:val="402F6E0B"/>
    <w:rsid w:val="403A326B"/>
    <w:rsid w:val="40503E24"/>
    <w:rsid w:val="408C786D"/>
    <w:rsid w:val="40D08C8E"/>
    <w:rsid w:val="40D81531"/>
    <w:rsid w:val="40EA2BDB"/>
    <w:rsid w:val="4139D1A1"/>
    <w:rsid w:val="413CAA21"/>
    <w:rsid w:val="4150FC4C"/>
    <w:rsid w:val="41842386"/>
    <w:rsid w:val="418665A4"/>
    <w:rsid w:val="41A1359C"/>
    <w:rsid w:val="41B05C78"/>
    <w:rsid w:val="41F9B10C"/>
    <w:rsid w:val="4200B5B5"/>
    <w:rsid w:val="420E2BED"/>
    <w:rsid w:val="42397D2E"/>
    <w:rsid w:val="4249CFF6"/>
    <w:rsid w:val="427DDF1B"/>
    <w:rsid w:val="4298E576"/>
    <w:rsid w:val="42A16F35"/>
    <w:rsid w:val="42B6D0C3"/>
    <w:rsid w:val="42EE5C0F"/>
    <w:rsid w:val="42F0D612"/>
    <w:rsid w:val="4304E93B"/>
    <w:rsid w:val="430F33A6"/>
    <w:rsid w:val="433017D8"/>
    <w:rsid w:val="43376330"/>
    <w:rsid w:val="4352452C"/>
    <w:rsid w:val="436DD6C6"/>
    <w:rsid w:val="43900FD9"/>
    <w:rsid w:val="43DA4E1F"/>
    <w:rsid w:val="43F97797"/>
    <w:rsid w:val="44123083"/>
    <w:rsid w:val="4431D6BB"/>
    <w:rsid w:val="446EFDA8"/>
    <w:rsid w:val="44A4ACFC"/>
    <w:rsid w:val="44DE78C9"/>
    <w:rsid w:val="4515F5D1"/>
    <w:rsid w:val="451DAA38"/>
    <w:rsid w:val="453EE714"/>
    <w:rsid w:val="4541269D"/>
    <w:rsid w:val="45787CDE"/>
    <w:rsid w:val="45AE00E4"/>
    <w:rsid w:val="45BF3BBB"/>
    <w:rsid w:val="460A0C76"/>
    <w:rsid w:val="46175DC5"/>
    <w:rsid w:val="462C1212"/>
    <w:rsid w:val="467DC4E9"/>
    <w:rsid w:val="46A3F169"/>
    <w:rsid w:val="46ECE998"/>
    <w:rsid w:val="4762EFCA"/>
    <w:rsid w:val="476D4891"/>
    <w:rsid w:val="476EF6A3"/>
    <w:rsid w:val="4779213B"/>
    <w:rsid w:val="478358BB"/>
    <w:rsid w:val="47900507"/>
    <w:rsid w:val="47968806"/>
    <w:rsid w:val="479F2F20"/>
    <w:rsid w:val="47C5C0D2"/>
    <w:rsid w:val="481A658A"/>
    <w:rsid w:val="48599A28"/>
    <w:rsid w:val="488E4B01"/>
    <w:rsid w:val="48BDFB0C"/>
    <w:rsid w:val="4910B0B9"/>
    <w:rsid w:val="4932E081"/>
    <w:rsid w:val="4942DCB2"/>
    <w:rsid w:val="498DF7B1"/>
    <w:rsid w:val="49C3978D"/>
    <w:rsid w:val="49C95ED3"/>
    <w:rsid w:val="49EA9F70"/>
    <w:rsid w:val="4A58C9DA"/>
    <w:rsid w:val="4A9C91D9"/>
    <w:rsid w:val="4AA179FB"/>
    <w:rsid w:val="4AE2B32C"/>
    <w:rsid w:val="4B33ECD7"/>
    <w:rsid w:val="4B5B7CAB"/>
    <w:rsid w:val="4B6A4878"/>
    <w:rsid w:val="4B93A260"/>
    <w:rsid w:val="4BE691F3"/>
    <w:rsid w:val="4BFAE41E"/>
    <w:rsid w:val="4BFE186B"/>
    <w:rsid w:val="4C1D4268"/>
    <w:rsid w:val="4C3716A4"/>
    <w:rsid w:val="4C389032"/>
    <w:rsid w:val="4C419DC5"/>
    <w:rsid w:val="4C42F238"/>
    <w:rsid w:val="4C7ADEA3"/>
    <w:rsid w:val="4CF5C9E9"/>
    <w:rsid w:val="4CFCBDD6"/>
    <w:rsid w:val="4D1AC21D"/>
    <w:rsid w:val="4D49C069"/>
    <w:rsid w:val="4D615D11"/>
    <w:rsid w:val="4DAC6BD0"/>
    <w:rsid w:val="4DB194B4"/>
    <w:rsid w:val="4DB3B60B"/>
    <w:rsid w:val="4DB4FE25"/>
    <w:rsid w:val="4DCABD11"/>
    <w:rsid w:val="4DCDA8A0"/>
    <w:rsid w:val="4DD2E705"/>
    <w:rsid w:val="4E00A33D"/>
    <w:rsid w:val="4E1A1446"/>
    <w:rsid w:val="4E492C1C"/>
    <w:rsid w:val="4E58D73C"/>
    <w:rsid w:val="4E62BF61"/>
    <w:rsid w:val="4E82E1F9"/>
    <w:rsid w:val="4E881E35"/>
    <w:rsid w:val="4EB6927E"/>
    <w:rsid w:val="4EC0D1FC"/>
    <w:rsid w:val="4F01784E"/>
    <w:rsid w:val="4FC72323"/>
    <w:rsid w:val="4FDA140E"/>
    <w:rsid w:val="5018106A"/>
    <w:rsid w:val="50776843"/>
    <w:rsid w:val="50C7A6A3"/>
    <w:rsid w:val="50DDB183"/>
    <w:rsid w:val="50F904DE"/>
    <w:rsid w:val="5118132E"/>
    <w:rsid w:val="519DC629"/>
    <w:rsid w:val="51E7B8C4"/>
    <w:rsid w:val="51ED8C52"/>
    <w:rsid w:val="51FE4ABA"/>
    <w:rsid w:val="521F2C09"/>
    <w:rsid w:val="522CA085"/>
    <w:rsid w:val="522CE373"/>
    <w:rsid w:val="5255D377"/>
    <w:rsid w:val="52955C79"/>
    <w:rsid w:val="52B07762"/>
    <w:rsid w:val="52F450E9"/>
    <w:rsid w:val="53085E64"/>
    <w:rsid w:val="53095C81"/>
    <w:rsid w:val="53133045"/>
    <w:rsid w:val="5318B8E0"/>
    <w:rsid w:val="532140D6"/>
    <w:rsid w:val="533812F3"/>
    <w:rsid w:val="53404755"/>
    <w:rsid w:val="5363543A"/>
    <w:rsid w:val="53893B73"/>
    <w:rsid w:val="538CC843"/>
    <w:rsid w:val="538D8EA3"/>
    <w:rsid w:val="53D95733"/>
    <w:rsid w:val="53E2D1BC"/>
    <w:rsid w:val="53E468B7"/>
    <w:rsid w:val="53ECCDA6"/>
    <w:rsid w:val="5413D2E3"/>
    <w:rsid w:val="54172F9F"/>
    <w:rsid w:val="543679E1"/>
    <w:rsid w:val="54A539FF"/>
    <w:rsid w:val="54A6AE5E"/>
    <w:rsid w:val="54B0D533"/>
    <w:rsid w:val="54C9A527"/>
    <w:rsid w:val="54D5BE71"/>
    <w:rsid w:val="54FFBC54"/>
    <w:rsid w:val="55752794"/>
    <w:rsid w:val="559C6071"/>
    <w:rsid w:val="55CCFD3B"/>
    <w:rsid w:val="55F2EE34"/>
    <w:rsid w:val="56091AD4"/>
    <w:rsid w:val="566C78D4"/>
    <w:rsid w:val="569CA997"/>
    <w:rsid w:val="569F2EB5"/>
    <w:rsid w:val="56A256AC"/>
    <w:rsid w:val="56A6E74F"/>
    <w:rsid w:val="56C9CE57"/>
    <w:rsid w:val="5719E41A"/>
    <w:rsid w:val="571E2485"/>
    <w:rsid w:val="574CFFF8"/>
    <w:rsid w:val="57942C11"/>
    <w:rsid w:val="57C1297A"/>
    <w:rsid w:val="57DB899C"/>
    <w:rsid w:val="582FB3A5"/>
    <w:rsid w:val="58983932"/>
    <w:rsid w:val="58A915DD"/>
    <w:rsid w:val="58C31302"/>
    <w:rsid w:val="58DE3126"/>
    <w:rsid w:val="58F6E093"/>
    <w:rsid w:val="5926D483"/>
    <w:rsid w:val="5936AC10"/>
    <w:rsid w:val="5A22D441"/>
    <w:rsid w:val="5A7A6947"/>
    <w:rsid w:val="5A92D2A3"/>
    <w:rsid w:val="5A998D46"/>
    <w:rsid w:val="5AF1CAEA"/>
    <w:rsid w:val="5B01C2EF"/>
    <w:rsid w:val="5B5BE24A"/>
    <w:rsid w:val="5BB2FA82"/>
    <w:rsid w:val="5BD55276"/>
    <w:rsid w:val="5C0ABE05"/>
    <w:rsid w:val="5C179951"/>
    <w:rsid w:val="5C35EAB1"/>
    <w:rsid w:val="5C4E8604"/>
    <w:rsid w:val="5C86CBCF"/>
    <w:rsid w:val="5C9B261F"/>
    <w:rsid w:val="5D7588AE"/>
    <w:rsid w:val="5D7E7497"/>
    <w:rsid w:val="5DA7E55A"/>
    <w:rsid w:val="5DC35A94"/>
    <w:rsid w:val="5DFB045C"/>
    <w:rsid w:val="5E2F7E3C"/>
    <w:rsid w:val="5E5EFACB"/>
    <w:rsid w:val="5E63F37D"/>
    <w:rsid w:val="5E691A89"/>
    <w:rsid w:val="5EA25314"/>
    <w:rsid w:val="5EF64BB3"/>
    <w:rsid w:val="5F005779"/>
    <w:rsid w:val="5F60128F"/>
    <w:rsid w:val="5F8626C6"/>
    <w:rsid w:val="5F8CBBF9"/>
    <w:rsid w:val="5FAFEF3E"/>
    <w:rsid w:val="5FB906AA"/>
    <w:rsid w:val="5FD58DDE"/>
    <w:rsid w:val="6015BD0A"/>
    <w:rsid w:val="602AE9A2"/>
    <w:rsid w:val="602D7DFB"/>
    <w:rsid w:val="60574BD2"/>
    <w:rsid w:val="608E5276"/>
    <w:rsid w:val="60A977BA"/>
    <w:rsid w:val="60B92E55"/>
    <w:rsid w:val="60E96B44"/>
    <w:rsid w:val="60EB578F"/>
    <w:rsid w:val="6117D789"/>
    <w:rsid w:val="6157D800"/>
    <w:rsid w:val="61792E89"/>
    <w:rsid w:val="61A7EAB5"/>
    <w:rsid w:val="61C43354"/>
    <w:rsid w:val="61C516FF"/>
    <w:rsid w:val="61C69EBA"/>
    <w:rsid w:val="61D82A3A"/>
    <w:rsid w:val="61E50953"/>
    <w:rsid w:val="62A411F7"/>
    <w:rsid w:val="62E7F32F"/>
    <w:rsid w:val="62EA371F"/>
    <w:rsid w:val="62EAAB7C"/>
    <w:rsid w:val="6317B754"/>
    <w:rsid w:val="631A3384"/>
    <w:rsid w:val="633FEB76"/>
    <w:rsid w:val="6372CA52"/>
    <w:rsid w:val="63C41BAA"/>
    <w:rsid w:val="63E92FC0"/>
    <w:rsid w:val="6444062E"/>
    <w:rsid w:val="64555BD7"/>
    <w:rsid w:val="6466679C"/>
    <w:rsid w:val="648690D7"/>
    <w:rsid w:val="64915604"/>
    <w:rsid w:val="64A9220D"/>
    <w:rsid w:val="64B184AE"/>
    <w:rsid w:val="651BF950"/>
    <w:rsid w:val="65289AC2"/>
    <w:rsid w:val="65765099"/>
    <w:rsid w:val="6598519E"/>
    <w:rsid w:val="65A504B3"/>
    <w:rsid w:val="65A6ABF3"/>
    <w:rsid w:val="65BB5368"/>
    <w:rsid w:val="65C23007"/>
    <w:rsid w:val="65D19376"/>
    <w:rsid w:val="65D27A55"/>
    <w:rsid w:val="65DA9963"/>
    <w:rsid w:val="65DC3FED"/>
    <w:rsid w:val="661E7FE8"/>
    <w:rsid w:val="663B6DC5"/>
    <w:rsid w:val="664B1657"/>
    <w:rsid w:val="66844D5B"/>
    <w:rsid w:val="678FED15"/>
    <w:rsid w:val="6798AEED"/>
    <w:rsid w:val="67A28792"/>
    <w:rsid w:val="67C1B794"/>
    <w:rsid w:val="6808A6C1"/>
    <w:rsid w:val="68345883"/>
    <w:rsid w:val="6863F5EE"/>
    <w:rsid w:val="6875581B"/>
    <w:rsid w:val="687631BC"/>
    <w:rsid w:val="68C3CB6F"/>
    <w:rsid w:val="68FABDC6"/>
    <w:rsid w:val="690648E4"/>
    <w:rsid w:val="69486B03"/>
    <w:rsid w:val="6980598A"/>
    <w:rsid w:val="69857E16"/>
    <w:rsid w:val="6986F66F"/>
    <w:rsid w:val="69D6F2DB"/>
    <w:rsid w:val="69EC83D0"/>
    <w:rsid w:val="69EE35EB"/>
    <w:rsid w:val="69FBA4A8"/>
    <w:rsid w:val="6A00F332"/>
    <w:rsid w:val="6A230249"/>
    <w:rsid w:val="6A2E6134"/>
    <w:rsid w:val="6A304BCF"/>
    <w:rsid w:val="6A768A96"/>
    <w:rsid w:val="6A8140BA"/>
    <w:rsid w:val="6A989794"/>
    <w:rsid w:val="6AB65300"/>
    <w:rsid w:val="6AFB09E3"/>
    <w:rsid w:val="6AFB895A"/>
    <w:rsid w:val="6B7F3C05"/>
    <w:rsid w:val="6BA3B93A"/>
    <w:rsid w:val="6BFC5417"/>
    <w:rsid w:val="6C091F0C"/>
    <w:rsid w:val="6C34276C"/>
    <w:rsid w:val="6CC52CA1"/>
    <w:rsid w:val="6CE2C0FE"/>
    <w:rsid w:val="6CF283AF"/>
    <w:rsid w:val="6D075A91"/>
    <w:rsid w:val="6D242492"/>
    <w:rsid w:val="6D247F97"/>
    <w:rsid w:val="6D261C07"/>
    <w:rsid w:val="6D4C3027"/>
    <w:rsid w:val="6D855941"/>
    <w:rsid w:val="6DC0E1C2"/>
    <w:rsid w:val="6E434E50"/>
    <w:rsid w:val="6EB876DE"/>
    <w:rsid w:val="6F253737"/>
    <w:rsid w:val="6F413695"/>
    <w:rsid w:val="6F56D039"/>
    <w:rsid w:val="6F6323BC"/>
    <w:rsid w:val="6F84CE00"/>
    <w:rsid w:val="6FA91A43"/>
    <w:rsid w:val="70340FBA"/>
    <w:rsid w:val="7079CA1E"/>
    <w:rsid w:val="70E0234B"/>
    <w:rsid w:val="71DF9B7F"/>
    <w:rsid w:val="71E3284F"/>
    <w:rsid w:val="71E68CA9"/>
    <w:rsid w:val="7259B8C4"/>
    <w:rsid w:val="725D8DDF"/>
    <w:rsid w:val="726D32FD"/>
    <w:rsid w:val="72882C71"/>
    <w:rsid w:val="729FA323"/>
    <w:rsid w:val="72A8BED0"/>
    <w:rsid w:val="72B7F3EA"/>
    <w:rsid w:val="72BAC2F5"/>
    <w:rsid w:val="72C164E5"/>
    <w:rsid w:val="72E3C722"/>
    <w:rsid w:val="72E4EE9C"/>
    <w:rsid w:val="736D949E"/>
    <w:rsid w:val="73C0BDAC"/>
    <w:rsid w:val="7402A887"/>
    <w:rsid w:val="7462DBEF"/>
    <w:rsid w:val="74737EE4"/>
    <w:rsid w:val="748AF17E"/>
    <w:rsid w:val="74D39351"/>
    <w:rsid w:val="75ACA63A"/>
    <w:rsid w:val="75E471AB"/>
    <w:rsid w:val="766C241A"/>
    <w:rsid w:val="767F0FA3"/>
    <w:rsid w:val="76A2A491"/>
    <w:rsid w:val="76ADD090"/>
    <w:rsid w:val="76BCB4EC"/>
    <w:rsid w:val="76CB7649"/>
    <w:rsid w:val="76D53BDF"/>
    <w:rsid w:val="76D6BCD3"/>
    <w:rsid w:val="76E7A5F1"/>
    <w:rsid w:val="77285239"/>
    <w:rsid w:val="776C2EA4"/>
    <w:rsid w:val="7794D608"/>
    <w:rsid w:val="77A13581"/>
    <w:rsid w:val="77A8EB50"/>
    <w:rsid w:val="77AB059E"/>
    <w:rsid w:val="77C008A0"/>
    <w:rsid w:val="77F74B40"/>
    <w:rsid w:val="77F90AB9"/>
    <w:rsid w:val="78110739"/>
    <w:rsid w:val="781E20DB"/>
    <w:rsid w:val="783755D8"/>
    <w:rsid w:val="78728D34"/>
    <w:rsid w:val="7881816A"/>
    <w:rsid w:val="78BD1B87"/>
    <w:rsid w:val="78C54B0F"/>
    <w:rsid w:val="78D25653"/>
    <w:rsid w:val="78DB4B86"/>
    <w:rsid w:val="78EB2398"/>
    <w:rsid w:val="790381A9"/>
    <w:rsid w:val="7917F992"/>
    <w:rsid w:val="791F31C5"/>
    <w:rsid w:val="793A1D4B"/>
    <w:rsid w:val="79412D49"/>
    <w:rsid w:val="795A9A2C"/>
    <w:rsid w:val="7A03170B"/>
    <w:rsid w:val="7A1C7BD6"/>
    <w:rsid w:val="7A2FBA7E"/>
    <w:rsid w:val="7A7DB9C5"/>
    <w:rsid w:val="7A811CDD"/>
    <w:rsid w:val="7A853409"/>
    <w:rsid w:val="7A92D1A3"/>
    <w:rsid w:val="7A96CA14"/>
    <w:rsid w:val="7AD8D643"/>
    <w:rsid w:val="7AF798B4"/>
    <w:rsid w:val="7B281D5E"/>
    <w:rsid w:val="7B96F9E6"/>
    <w:rsid w:val="7BA2A3E4"/>
    <w:rsid w:val="7BCC9D09"/>
    <w:rsid w:val="7C0F276A"/>
    <w:rsid w:val="7C25495E"/>
    <w:rsid w:val="7C798202"/>
    <w:rsid w:val="7C7F68B9"/>
    <w:rsid w:val="7C86D609"/>
    <w:rsid w:val="7C8C6E3B"/>
    <w:rsid w:val="7C923AEE"/>
    <w:rsid w:val="7C92AA5F"/>
    <w:rsid w:val="7CC3BF9B"/>
    <w:rsid w:val="7CE34DB4"/>
    <w:rsid w:val="7CEBC5EF"/>
    <w:rsid w:val="7CEF864F"/>
    <w:rsid w:val="7CFD6486"/>
    <w:rsid w:val="7D06AF3B"/>
    <w:rsid w:val="7D3DC9F5"/>
    <w:rsid w:val="7D4235E2"/>
    <w:rsid w:val="7D52DD74"/>
    <w:rsid w:val="7D6E9C5C"/>
    <w:rsid w:val="7D790810"/>
    <w:rsid w:val="7D7993E3"/>
    <w:rsid w:val="7D85F908"/>
    <w:rsid w:val="7D959B7F"/>
    <w:rsid w:val="7DB82184"/>
    <w:rsid w:val="7DBCAD8D"/>
    <w:rsid w:val="7DE5781A"/>
    <w:rsid w:val="7DF6AE82"/>
    <w:rsid w:val="7E0362E8"/>
    <w:rsid w:val="7EC2C839"/>
    <w:rsid w:val="7ED84D07"/>
    <w:rsid w:val="7EF1388F"/>
    <w:rsid w:val="7EF3281C"/>
    <w:rsid w:val="7F05B3E9"/>
    <w:rsid w:val="7F50A4B1"/>
    <w:rsid w:val="7F708653"/>
    <w:rsid w:val="7F780452"/>
    <w:rsid w:val="7F8F419C"/>
    <w:rsid w:val="7F9FE7ED"/>
    <w:rsid w:val="7FCF0E63"/>
    <w:rsid w:val="7FD6D567"/>
    <w:rsid w:val="7FF4B87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15600"/>
  <w15:docId w15:val="{BE716D91-BAB8-E548-A522-CE8BC49C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Times New Roman" w:hAnsi="Times New Roman" w:eastAsia="Times New Roman" w:cs="Times New Roman"/>
      <w:lang w:val="pt-PT"/>
    </w:rPr>
  </w:style>
  <w:style w:type="paragraph" w:styleId="Heading1">
    <w:name w:val="heading 1"/>
    <w:basedOn w:val="Normal"/>
    <w:uiPriority w:val="9"/>
    <w:qFormat/>
    <w:pPr>
      <w:ind w:left="934" w:right="1044" w:hanging="4"/>
      <w:jc w:val="center"/>
      <w:outlineLvl w:val="0"/>
    </w:pPr>
    <w:rPr>
      <w:rFonts w:ascii="Carlito" w:hAnsi="Carlito" w:eastAsia="Carlito" w:cs="Carlito"/>
      <w:sz w:val="24"/>
      <w:szCs w:val="24"/>
    </w:rPr>
  </w:style>
  <w:style w:type="paragraph" w:styleId="Heading2">
    <w:name w:val="heading 2"/>
    <w:basedOn w:val="Normal"/>
    <w:uiPriority w:val="9"/>
    <w:unhideWhenUsed/>
    <w:qFormat/>
    <w:pPr>
      <w:ind w:left="112"/>
      <w:outlineLvl w:val="1"/>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before="196"/>
      <w:ind w:left="240" w:hanging="129"/>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805C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5CB"/>
    <w:rPr>
      <w:rFonts w:ascii="Segoe UI" w:hAnsi="Segoe UI" w:eastAsia="Times New Roman" w:cs="Segoe UI"/>
      <w:sz w:val="18"/>
      <w:szCs w:val="18"/>
      <w:lang w:val="pt-PT"/>
    </w:rPr>
  </w:style>
  <w:style w:type="paragraph" w:styleId="Header">
    <w:name w:val="header"/>
    <w:basedOn w:val="Normal"/>
    <w:link w:val="HeaderChar"/>
    <w:uiPriority w:val="99"/>
    <w:unhideWhenUsed/>
    <w:rsid w:val="009B0664"/>
    <w:pPr>
      <w:tabs>
        <w:tab w:val="center" w:pos="4252"/>
        <w:tab w:val="right" w:pos="8504"/>
      </w:tabs>
    </w:pPr>
  </w:style>
  <w:style w:type="character" w:styleId="HeaderChar" w:customStyle="1">
    <w:name w:val="Header Char"/>
    <w:basedOn w:val="DefaultParagraphFont"/>
    <w:link w:val="Header"/>
    <w:uiPriority w:val="99"/>
    <w:rsid w:val="009B0664"/>
    <w:rPr>
      <w:rFonts w:ascii="Times New Roman" w:hAnsi="Times New Roman" w:eastAsia="Times New Roman" w:cs="Times New Roman"/>
      <w:lang w:val="pt-PT"/>
    </w:rPr>
  </w:style>
  <w:style w:type="paragraph" w:styleId="Footer">
    <w:name w:val="footer"/>
    <w:basedOn w:val="Normal"/>
    <w:link w:val="FooterChar"/>
    <w:uiPriority w:val="99"/>
    <w:unhideWhenUsed/>
    <w:rsid w:val="009B0664"/>
    <w:pPr>
      <w:tabs>
        <w:tab w:val="center" w:pos="4252"/>
        <w:tab w:val="right" w:pos="8504"/>
      </w:tabs>
    </w:pPr>
  </w:style>
  <w:style w:type="character" w:styleId="FooterChar" w:customStyle="1">
    <w:name w:val="Footer Char"/>
    <w:basedOn w:val="DefaultParagraphFont"/>
    <w:link w:val="Footer"/>
    <w:uiPriority w:val="99"/>
    <w:rsid w:val="009B0664"/>
    <w:rPr>
      <w:rFonts w:ascii="Times New Roman" w:hAnsi="Times New Roman" w:eastAsia="Times New Roman" w:cs="Times New Roman"/>
      <w:lang w:val="pt-PT"/>
    </w:rPr>
  </w:style>
  <w:style w:type="character" w:styleId="Hyperlink">
    <w:name w:val="Hyperlink"/>
    <w:basedOn w:val="DefaultParagraphFont"/>
    <w:uiPriority w:val="99"/>
    <w:unhideWhenUsed/>
    <w:rsid w:val="007333DC"/>
    <w:rPr>
      <w:color w:val="0000FF" w:themeColor="hyperlink"/>
      <w:u w:val="single"/>
    </w:rPr>
  </w:style>
  <w:style w:type="character" w:styleId="MenoPendente1" w:customStyle="1">
    <w:name w:val="Menção Pendente1"/>
    <w:basedOn w:val="DefaultParagraphFont"/>
    <w:uiPriority w:val="99"/>
    <w:semiHidden/>
    <w:unhideWhenUsed/>
    <w:rsid w:val="007333DC"/>
    <w:rPr>
      <w:color w:val="605E5C"/>
      <w:shd w:val="clear" w:color="auto" w:fill="E1DFDD"/>
    </w:rPr>
  </w:style>
  <w:style w:type="character" w:styleId="Strong">
    <w:name w:val="Strong"/>
    <w:basedOn w:val="DefaultParagraphFont"/>
    <w:uiPriority w:val="22"/>
    <w:qFormat/>
    <w:rsid w:val="00737308"/>
    <w:rPr>
      <w:b/>
      <w:bCs/>
    </w:rPr>
  </w:style>
  <w:style w:type="paragraph" w:styleId="Default" w:customStyle="1">
    <w:name w:val="Default"/>
    <w:rsid w:val="00436DFC"/>
    <w:pPr>
      <w:widowControl/>
      <w:adjustRightInd w:val="0"/>
    </w:pPr>
    <w:rPr>
      <w:rFonts w:ascii="Times New Roman" w:hAnsi="Times New Roman" w:cs="Times New Roman"/>
      <w:color w:val="000000"/>
      <w:sz w:val="24"/>
      <w:szCs w:val="24"/>
      <w:lang w:val="pt-BR"/>
    </w:rPr>
  </w:style>
  <w:style w:type="table" w:styleId="TableGrid">
    <w:name w:val="Table Grid"/>
    <w:basedOn w:val="TableNormal"/>
    <w:uiPriority w:val="39"/>
    <w:rsid w:val="003B48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oPendente2" w:customStyle="1">
    <w:name w:val="Menção Pendente2"/>
    <w:basedOn w:val="DefaultParagraphFont"/>
    <w:uiPriority w:val="99"/>
    <w:semiHidden/>
    <w:unhideWhenUsed/>
    <w:rsid w:val="0048255E"/>
    <w:rPr>
      <w:color w:val="605E5C"/>
      <w:shd w:val="clear" w:color="auto" w:fill="E1DFDD"/>
    </w:rPr>
  </w:style>
  <w:style w:type="paragraph" w:styleId="FootnoteText">
    <w:name w:val="footnote text"/>
    <w:basedOn w:val="Normal"/>
    <w:link w:val="FootnoteTextChar"/>
    <w:uiPriority w:val="99"/>
    <w:unhideWhenUsed/>
    <w:rsid w:val="00F01012"/>
    <w:rPr>
      <w:sz w:val="20"/>
      <w:szCs w:val="20"/>
    </w:rPr>
  </w:style>
  <w:style w:type="character" w:styleId="FootnoteTextChar" w:customStyle="1">
    <w:name w:val="Footnote Text Char"/>
    <w:basedOn w:val="DefaultParagraphFont"/>
    <w:link w:val="FootnoteText"/>
    <w:uiPriority w:val="99"/>
    <w:rsid w:val="00F01012"/>
    <w:rPr>
      <w:rFonts w:ascii="Times New Roman" w:hAnsi="Times New Roman" w:eastAsia="Times New Roman" w:cs="Times New Roman"/>
      <w:sz w:val="20"/>
      <w:szCs w:val="20"/>
      <w:lang w:val="pt-PT"/>
    </w:rPr>
  </w:style>
  <w:style w:type="character" w:styleId="FootnoteReference">
    <w:name w:val="footnote reference"/>
    <w:basedOn w:val="DefaultParagraphFont"/>
    <w:uiPriority w:val="99"/>
    <w:semiHidden/>
    <w:unhideWhenUsed/>
    <w:rsid w:val="00F01012"/>
    <w:rPr>
      <w:vertAlign w:val="superscript"/>
    </w:rPr>
  </w:style>
  <w:style w:type="paragraph" w:styleId="paragraph" w:customStyle="1">
    <w:name w:val="paragraph"/>
    <w:basedOn w:val="Normal"/>
    <w:rsid w:val="00720FD6"/>
    <w:pPr>
      <w:widowControl/>
      <w:autoSpaceDE/>
      <w:autoSpaceDN/>
      <w:spacing w:before="100" w:beforeAutospacing="1" w:after="100" w:afterAutospacing="1"/>
    </w:pPr>
    <w:rPr>
      <w:sz w:val="24"/>
      <w:szCs w:val="24"/>
      <w:lang w:val="en-US"/>
    </w:rPr>
  </w:style>
  <w:style w:type="character" w:styleId="normaltextrun" w:customStyle="1">
    <w:name w:val="normaltextrun"/>
    <w:basedOn w:val="DefaultParagraphFont"/>
    <w:rsid w:val="00720FD6"/>
  </w:style>
  <w:style w:type="character" w:styleId="eop" w:customStyle="1">
    <w:name w:val="eop"/>
    <w:basedOn w:val="DefaultParagraphFont"/>
    <w:rsid w:val="00720FD6"/>
  </w:style>
  <w:style w:type="paragraph" w:styleId="NormalWeb">
    <w:name w:val="Normal (Web)"/>
    <w:basedOn w:val="Normal"/>
    <w:uiPriority w:val="99"/>
    <w:semiHidden/>
    <w:unhideWhenUsed/>
    <w:rsid w:val="00DE151C"/>
    <w:pPr>
      <w:widowControl/>
      <w:autoSpaceDE/>
      <w:autoSpaceDN/>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433701"/>
    <w:rPr>
      <w:sz w:val="16"/>
      <w:szCs w:val="16"/>
    </w:rPr>
  </w:style>
  <w:style w:type="paragraph" w:styleId="CommentText">
    <w:name w:val="annotation text"/>
    <w:basedOn w:val="Normal"/>
    <w:link w:val="CommentTextChar"/>
    <w:uiPriority w:val="99"/>
    <w:semiHidden/>
    <w:unhideWhenUsed/>
    <w:rsid w:val="00433701"/>
    <w:rPr>
      <w:sz w:val="20"/>
      <w:szCs w:val="20"/>
    </w:rPr>
  </w:style>
  <w:style w:type="character" w:styleId="CommentTextChar" w:customStyle="1">
    <w:name w:val="Comment Text Char"/>
    <w:basedOn w:val="DefaultParagraphFont"/>
    <w:link w:val="CommentText"/>
    <w:uiPriority w:val="99"/>
    <w:semiHidden/>
    <w:rsid w:val="00433701"/>
    <w:rPr>
      <w:rFonts w:ascii="Times New Roman" w:hAnsi="Times New Roman" w:eastAsia="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433701"/>
    <w:rPr>
      <w:b/>
      <w:bCs/>
    </w:rPr>
  </w:style>
  <w:style w:type="character" w:styleId="CommentSubjectChar" w:customStyle="1">
    <w:name w:val="Comment Subject Char"/>
    <w:basedOn w:val="CommentTextChar"/>
    <w:link w:val="CommentSubject"/>
    <w:uiPriority w:val="99"/>
    <w:semiHidden/>
    <w:rsid w:val="00433701"/>
    <w:rPr>
      <w:rFonts w:ascii="Times New Roman" w:hAnsi="Times New Roman" w:eastAsia="Times New Roman" w:cs="Times New Roman"/>
      <w:b/>
      <w:bCs/>
      <w:sz w:val="20"/>
      <w:szCs w:val="20"/>
      <w:lang w:val="pt-PT"/>
    </w:rPr>
  </w:style>
  <w:style w:type="character" w:styleId="ListParagraphChar" w:customStyle="1">
    <w:name w:val="List Paragraph Char"/>
    <w:basedOn w:val="DefaultParagraphFont"/>
    <w:link w:val="ListParagraph"/>
    <w:uiPriority w:val="34"/>
    <w:locked/>
    <w:rsid w:val="002A423E"/>
    <w:rPr>
      <w:rFonts w:ascii="Times New Roman" w:hAnsi="Times New Roman" w:eastAsia="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8644">
      <w:bodyDiv w:val="1"/>
      <w:marLeft w:val="0"/>
      <w:marRight w:val="0"/>
      <w:marTop w:val="0"/>
      <w:marBottom w:val="0"/>
      <w:divBdr>
        <w:top w:val="none" w:sz="0" w:space="0" w:color="auto"/>
        <w:left w:val="none" w:sz="0" w:space="0" w:color="auto"/>
        <w:bottom w:val="none" w:sz="0" w:space="0" w:color="auto"/>
        <w:right w:val="none" w:sz="0" w:space="0" w:color="auto"/>
      </w:divBdr>
    </w:div>
    <w:div w:id="450441535">
      <w:bodyDiv w:val="1"/>
      <w:marLeft w:val="0"/>
      <w:marRight w:val="0"/>
      <w:marTop w:val="0"/>
      <w:marBottom w:val="0"/>
      <w:divBdr>
        <w:top w:val="none" w:sz="0" w:space="0" w:color="auto"/>
        <w:left w:val="none" w:sz="0" w:space="0" w:color="auto"/>
        <w:bottom w:val="none" w:sz="0" w:space="0" w:color="auto"/>
        <w:right w:val="none" w:sz="0" w:space="0" w:color="auto"/>
      </w:divBdr>
      <w:divsChild>
        <w:div w:id="1179660142">
          <w:marLeft w:val="0"/>
          <w:marRight w:val="450"/>
          <w:marTop w:val="0"/>
          <w:marBottom w:val="750"/>
          <w:divBdr>
            <w:top w:val="none" w:sz="0" w:space="0" w:color="auto"/>
            <w:left w:val="none" w:sz="0" w:space="0" w:color="auto"/>
            <w:bottom w:val="none" w:sz="0" w:space="0" w:color="auto"/>
            <w:right w:val="none" w:sz="0" w:space="0" w:color="auto"/>
          </w:divBdr>
        </w:div>
        <w:div w:id="1308900274">
          <w:marLeft w:val="0"/>
          <w:marRight w:val="0"/>
          <w:marTop w:val="0"/>
          <w:marBottom w:val="300"/>
          <w:divBdr>
            <w:top w:val="none" w:sz="0" w:space="0" w:color="auto"/>
            <w:left w:val="none" w:sz="0" w:space="0" w:color="auto"/>
            <w:bottom w:val="none" w:sz="0" w:space="0" w:color="auto"/>
            <w:right w:val="none" w:sz="0" w:space="0" w:color="auto"/>
          </w:divBdr>
        </w:div>
      </w:divsChild>
    </w:div>
    <w:div w:id="619998599">
      <w:bodyDiv w:val="1"/>
      <w:marLeft w:val="0"/>
      <w:marRight w:val="0"/>
      <w:marTop w:val="0"/>
      <w:marBottom w:val="0"/>
      <w:divBdr>
        <w:top w:val="none" w:sz="0" w:space="0" w:color="auto"/>
        <w:left w:val="none" w:sz="0" w:space="0" w:color="auto"/>
        <w:bottom w:val="none" w:sz="0" w:space="0" w:color="auto"/>
        <w:right w:val="none" w:sz="0" w:space="0" w:color="auto"/>
      </w:divBdr>
      <w:divsChild>
        <w:div w:id="567494869">
          <w:marLeft w:val="0"/>
          <w:marRight w:val="450"/>
          <w:marTop w:val="0"/>
          <w:marBottom w:val="750"/>
          <w:divBdr>
            <w:top w:val="none" w:sz="0" w:space="0" w:color="auto"/>
            <w:left w:val="none" w:sz="0" w:space="0" w:color="auto"/>
            <w:bottom w:val="none" w:sz="0" w:space="0" w:color="auto"/>
            <w:right w:val="none" w:sz="0" w:space="0" w:color="auto"/>
          </w:divBdr>
        </w:div>
        <w:div w:id="2006936771">
          <w:marLeft w:val="0"/>
          <w:marRight w:val="0"/>
          <w:marTop w:val="0"/>
          <w:marBottom w:val="300"/>
          <w:divBdr>
            <w:top w:val="none" w:sz="0" w:space="0" w:color="auto"/>
            <w:left w:val="none" w:sz="0" w:space="0" w:color="auto"/>
            <w:bottom w:val="none" w:sz="0" w:space="0" w:color="auto"/>
            <w:right w:val="none" w:sz="0" w:space="0" w:color="auto"/>
          </w:divBdr>
        </w:div>
      </w:divsChild>
    </w:div>
    <w:div w:id="660236443">
      <w:bodyDiv w:val="1"/>
      <w:marLeft w:val="0"/>
      <w:marRight w:val="0"/>
      <w:marTop w:val="0"/>
      <w:marBottom w:val="0"/>
      <w:divBdr>
        <w:top w:val="none" w:sz="0" w:space="0" w:color="auto"/>
        <w:left w:val="none" w:sz="0" w:space="0" w:color="auto"/>
        <w:bottom w:val="none" w:sz="0" w:space="0" w:color="auto"/>
        <w:right w:val="none" w:sz="0" w:space="0" w:color="auto"/>
      </w:divBdr>
    </w:div>
    <w:div w:id="665399402">
      <w:bodyDiv w:val="1"/>
      <w:marLeft w:val="0"/>
      <w:marRight w:val="0"/>
      <w:marTop w:val="0"/>
      <w:marBottom w:val="0"/>
      <w:divBdr>
        <w:top w:val="none" w:sz="0" w:space="0" w:color="auto"/>
        <w:left w:val="none" w:sz="0" w:space="0" w:color="auto"/>
        <w:bottom w:val="none" w:sz="0" w:space="0" w:color="auto"/>
        <w:right w:val="none" w:sz="0" w:space="0" w:color="auto"/>
      </w:divBdr>
    </w:div>
    <w:div w:id="990400244">
      <w:bodyDiv w:val="1"/>
      <w:marLeft w:val="0"/>
      <w:marRight w:val="0"/>
      <w:marTop w:val="0"/>
      <w:marBottom w:val="0"/>
      <w:divBdr>
        <w:top w:val="none" w:sz="0" w:space="0" w:color="auto"/>
        <w:left w:val="none" w:sz="0" w:space="0" w:color="auto"/>
        <w:bottom w:val="none" w:sz="0" w:space="0" w:color="auto"/>
        <w:right w:val="none" w:sz="0" w:space="0" w:color="auto"/>
      </w:divBdr>
      <w:divsChild>
        <w:div w:id="2049062947">
          <w:marLeft w:val="0"/>
          <w:marRight w:val="0"/>
          <w:marTop w:val="0"/>
          <w:marBottom w:val="0"/>
          <w:divBdr>
            <w:top w:val="none" w:sz="0" w:space="0" w:color="auto"/>
            <w:left w:val="none" w:sz="0" w:space="0" w:color="auto"/>
            <w:bottom w:val="none" w:sz="0" w:space="0" w:color="auto"/>
            <w:right w:val="none" w:sz="0" w:space="0" w:color="auto"/>
          </w:divBdr>
          <w:divsChild>
            <w:div w:id="757949857">
              <w:marLeft w:val="0"/>
              <w:marRight w:val="0"/>
              <w:marTop w:val="0"/>
              <w:marBottom w:val="0"/>
              <w:divBdr>
                <w:top w:val="none" w:sz="0" w:space="0" w:color="auto"/>
                <w:left w:val="none" w:sz="0" w:space="0" w:color="auto"/>
                <w:bottom w:val="none" w:sz="0" w:space="0" w:color="auto"/>
                <w:right w:val="none" w:sz="0" w:space="0" w:color="auto"/>
              </w:divBdr>
              <w:divsChild>
                <w:div w:id="9470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1037">
      <w:bodyDiv w:val="1"/>
      <w:marLeft w:val="0"/>
      <w:marRight w:val="0"/>
      <w:marTop w:val="0"/>
      <w:marBottom w:val="0"/>
      <w:divBdr>
        <w:top w:val="none" w:sz="0" w:space="0" w:color="auto"/>
        <w:left w:val="none" w:sz="0" w:space="0" w:color="auto"/>
        <w:bottom w:val="none" w:sz="0" w:space="0" w:color="auto"/>
        <w:right w:val="none" w:sz="0" w:space="0" w:color="auto"/>
      </w:divBdr>
    </w:div>
    <w:div w:id="1122263586">
      <w:bodyDiv w:val="1"/>
      <w:marLeft w:val="0"/>
      <w:marRight w:val="0"/>
      <w:marTop w:val="0"/>
      <w:marBottom w:val="0"/>
      <w:divBdr>
        <w:top w:val="none" w:sz="0" w:space="0" w:color="auto"/>
        <w:left w:val="none" w:sz="0" w:space="0" w:color="auto"/>
        <w:bottom w:val="none" w:sz="0" w:space="0" w:color="auto"/>
        <w:right w:val="none" w:sz="0" w:space="0" w:color="auto"/>
      </w:divBdr>
    </w:div>
    <w:div w:id="1229072096">
      <w:bodyDiv w:val="1"/>
      <w:marLeft w:val="0"/>
      <w:marRight w:val="0"/>
      <w:marTop w:val="0"/>
      <w:marBottom w:val="0"/>
      <w:divBdr>
        <w:top w:val="none" w:sz="0" w:space="0" w:color="auto"/>
        <w:left w:val="none" w:sz="0" w:space="0" w:color="auto"/>
        <w:bottom w:val="none" w:sz="0" w:space="0" w:color="auto"/>
        <w:right w:val="none" w:sz="0" w:space="0" w:color="auto"/>
      </w:divBdr>
      <w:divsChild>
        <w:div w:id="741562813">
          <w:marLeft w:val="0"/>
          <w:marRight w:val="0"/>
          <w:marTop w:val="0"/>
          <w:marBottom w:val="0"/>
          <w:divBdr>
            <w:top w:val="none" w:sz="0" w:space="0" w:color="auto"/>
            <w:left w:val="none" w:sz="0" w:space="0" w:color="auto"/>
            <w:bottom w:val="none" w:sz="0" w:space="0" w:color="auto"/>
            <w:right w:val="none" w:sz="0" w:space="0" w:color="auto"/>
          </w:divBdr>
          <w:divsChild>
            <w:div w:id="324430646">
              <w:marLeft w:val="0"/>
              <w:marRight w:val="0"/>
              <w:marTop w:val="0"/>
              <w:marBottom w:val="0"/>
              <w:divBdr>
                <w:top w:val="none" w:sz="0" w:space="0" w:color="auto"/>
                <w:left w:val="none" w:sz="0" w:space="0" w:color="auto"/>
                <w:bottom w:val="none" w:sz="0" w:space="0" w:color="auto"/>
                <w:right w:val="none" w:sz="0" w:space="0" w:color="auto"/>
              </w:divBdr>
              <w:divsChild>
                <w:div w:id="41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6980">
      <w:bodyDiv w:val="1"/>
      <w:marLeft w:val="0"/>
      <w:marRight w:val="0"/>
      <w:marTop w:val="0"/>
      <w:marBottom w:val="0"/>
      <w:divBdr>
        <w:top w:val="none" w:sz="0" w:space="0" w:color="auto"/>
        <w:left w:val="none" w:sz="0" w:space="0" w:color="auto"/>
        <w:bottom w:val="none" w:sz="0" w:space="0" w:color="auto"/>
        <w:right w:val="none" w:sz="0" w:space="0" w:color="auto"/>
      </w:divBdr>
    </w:div>
    <w:div w:id="1339696098">
      <w:bodyDiv w:val="1"/>
      <w:marLeft w:val="0"/>
      <w:marRight w:val="0"/>
      <w:marTop w:val="0"/>
      <w:marBottom w:val="0"/>
      <w:divBdr>
        <w:top w:val="none" w:sz="0" w:space="0" w:color="auto"/>
        <w:left w:val="none" w:sz="0" w:space="0" w:color="auto"/>
        <w:bottom w:val="none" w:sz="0" w:space="0" w:color="auto"/>
        <w:right w:val="none" w:sz="0" w:space="0" w:color="auto"/>
      </w:divBdr>
    </w:div>
    <w:div w:id="1549494236">
      <w:bodyDiv w:val="1"/>
      <w:marLeft w:val="0"/>
      <w:marRight w:val="0"/>
      <w:marTop w:val="0"/>
      <w:marBottom w:val="0"/>
      <w:divBdr>
        <w:top w:val="none" w:sz="0" w:space="0" w:color="auto"/>
        <w:left w:val="none" w:sz="0" w:space="0" w:color="auto"/>
        <w:bottom w:val="none" w:sz="0" w:space="0" w:color="auto"/>
        <w:right w:val="none" w:sz="0" w:space="0" w:color="auto"/>
      </w:divBdr>
    </w:div>
    <w:div w:id="1650281176">
      <w:bodyDiv w:val="1"/>
      <w:marLeft w:val="0"/>
      <w:marRight w:val="0"/>
      <w:marTop w:val="0"/>
      <w:marBottom w:val="0"/>
      <w:divBdr>
        <w:top w:val="none" w:sz="0" w:space="0" w:color="auto"/>
        <w:left w:val="none" w:sz="0" w:space="0" w:color="auto"/>
        <w:bottom w:val="none" w:sz="0" w:space="0" w:color="auto"/>
        <w:right w:val="none" w:sz="0" w:space="0" w:color="auto"/>
      </w:divBdr>
      <w:divsChild>
        <w:div w:id="68117540">
          <w:marLeft w:val="0"/>
          <w:marRight w:val="0"/>
          <w:marTop w:val="0"/>
          <w:marBottom w:val="300"/>
          <w:divBdr>
            <w:top w:val="none" w:sz="0" w:space="0" w:color="auto"/>
            <w:left w:val="none" w:sz="0" w:space="0" w:color="auto"/>
            <w:bottom w:val="none" w:sz="0" w:space="0" w:color="auto"/>
            <w:right w:val="none" w:sz="0" w:space="0" w:color="auto"/>
          </w:divBdr>
        </w:div>
        <w:div w:id="1721400321">
          <w:marLeft w:val="0"/>
          <w:marRight w:val="450"/>
          <w:marTop w:val="0"/>
          <w:marBottom w:val="750"/>
          <w:divBdr>
            <w:top w:val="none" w:sz="0" w:space="0" w:color="auto"/>
            <w:left w:val="none" w:sz="0" w:space="0" w:color="auto"/>
            <w:bottom w:val="none" w:sz="0" w:space="0" w:color="auto"/>
            <w:right w:val="none" w:sz="0" w:space="0" w:color="auto"/>
          </w:divBdr>
        </w:div>
      </w:divsChild>
    </w:div>
    <w:div w:id="1660303702">
      <w:bodyDiv w:val="1"/>
      <w:marLeft w:val="0"/>
      <w:marRight w:val="0"/>
      <w:marTop w:val="0"/>
      <w:marBottom w:val="0"/>
      <w:divBdr>
        <w:top w:val="none" w:sz="0" w:space="0" w:color="auto"/>
        <w:left w:val="none" w:sz="0" w:space="0" w:color="auto"/>
        <w:bottom w:val="none" w:sz="0" w:space="0" w:color="auto"/>
        <w:right w:val="none" w:sz="0" w:space="0" w:color="auto"/>
      </w:divBdr>
    </w:div>
    <w:div w:id="1785032560">
      <w:bodyDiv w:val="1"/>
      <w:marLeft w:val="0"/>
      <w:marRight w:val="0"/>
      <w:marTop w:val="0"/>
      <w:marBottom w:val="0"/>
      <w:divBdr>
        <w:top w:val="none" w:sz="0" w:space="0" w:color="auto"/>
        <w:left w:val="none" w:sz="0" w:space="0" w:color="auto"/>
        <w:bottom w:val="none" w:sz="0" w:space="0" w:color="auto"/>
        <w:right w:val="none" w:sz="0" w:space="0" w:color="auto"/>
      </w:divBdr>
      <w:divsChild>
        <w:div w:id="757018053">
          <w:marLeft w:val="0"/>
          <w:marRight w:val="0"/>
          <w:marTop w:val="0"/>
          <w:marBottom w:val="0"/>
          <w:divBdr>
            <w:top w:val="none" w:sz="0" w:space="0" w:color="auto"/>
            <w:left w:val="none" w:sz="0" w:space="0" w:color="auto"/>
            <w:bottom w:val="none" w:sz="0" w:space="0" w:color="auto"/>
            <w:right w:val="none" w:sz="0" w:space="0" w:color="auto"/>
          </w:divBdr>
          <w:divsChild>
            <w:div w:id="559287405">
              <w:marLeft w:val="0"/>
              <w:marRight w:val="0"/>
              <w:marTop w:val="0"/>
              <w:marBottom w:val="0"/>
              <w:divBdr>
                <w:top w:val="none" w:sz="0" w:space="0" w:color="auto"/>
                <w:left w:val="none" w:sz="0" w:space="0" w:color="auto"/>
                <w:bottom w:val="none" w:sz="0" w:space="0" w:color="auto"/>
                <w:right w:val="none" w:sz="0" w:space="0" w:color="auto"/>
              </w:divBdr>
            </w:div>
            <w:div w:id="754014464">
              <w:marLeft w:val="0"/>
              <w:marRight w:val="0"/>
              <w:marTop w:val="0"/>
              <w:marBottom w:val="0"/>
              <w:divBdr>
                <w:top w:val="none" w:sz="0" w:space="0" w:color="auto"/>
                <w:left w:val="none" w:sz="0" w:space="0" w:color="auto"/>
                <w:bottom w:val="none" w:sz="0" w:space="0" w:color="auto"/>
                <w:right w:val="none" w:sz="0" w:space="0" w:color="auto"/>
              </w:divBdr>
            </w:div>
            <w:div w:id="1963030956">
              <w:marLeft w:val="0"/>
              <w:marRight w:val="0"/>
              <w:marTop w:val="0"/>
              <w:marBottom w:val="0"/>
              <w:divBdr>
                <w:top w:val="none" w:sz="0" w:space="0" w:color="auto"/>
                <w:left w:val="none" w:sz="0" w:space="0" w:color="auto"/>
                <w:bottom w:val="none" w:sz="0" w:space="0" w:color="auto"/>
                <w:right w:val="none" w:sz="0" w:space="0" w:color="auto"/>
              </w:divBdr>
            </w:div>
            <w:div w:id="1815175689">
              <w:marLeft w:val="0"/>
              <w:marRight w:val="0"/>
              <w:marTop w:val="0"/>
              <w:marBottom w:val="0"/>
              <w:divBdr>
                <w:top w:val="none" w:sz="0" w:space="0" w:color="auto"/>
                <w:left w:val="none" w:sz="0" w:space="0" w:color="auto"/>
                <w:bottom w:val="none" w:sz="0" w:space="0" w:color="auto"/>
                <w:right w:val="none" w:sz="0" w:space="0" w:color="auto"/>
              </w:divBdr>
            </w:div>
            <w:div w:id="170989571">
              <w:marLeft w:val="0"/>
              <w:marRight w:val="0"/>
              <w:marTop w:val="0"/>
              <w:marBottom w:val="0"/>
              <w:divBdr>
                <w:top w:val="none" w:sz="0" w:space="0" w:color="auto"/>
                <w:left w:val="none" w:sz="0" w:space="0" w:color="auto"/>
                <w:bottom w:val="none" w:sz="0" w:space="0" w:color="auto"/>
                <w:right w:val="none" w:sz="0" w:space="0" w:color="auto"/>
              </w:divBdr>
            </w:div>
          </w:divsChild>
        </w:div>
        <w:div w:id="1704555015">
          <w:marLeft w:val="0"/>
          <w:marRight w:val="0"/>
          <w:marTop w:val="0"/>
          <w:marBottom w:val="0"/>
          <w:divBdr>
            <w:top w:val="none" w:sz="0" w:space="0" w:color="auto"/>
            <w:left w:val="none" w:sz="0" w:space="0" w:color="auto"/>
            <w:bottom w:val="none" w:sz="0" w:space="0" w:color="auto"/>
            <w:right w:val="none" w:sz="0" w:space="0" w:color="auto"/>
          </w:divBdr>
          <w:divsChild>
            <w:div w:id="2003314504">
              <w:marLeft w:val="0"/>
              <w:marRight w:val="0"/>
              <w:marTop w:val="0"/>
              <w:marBottom w:val="0"/>
              <w:divBdr>
                <w:top w:val="none" w:sz="0" w:space="0" w:color="auto"/>
                <w:left w:val="none" w:sz="0" w:space="0" w:color="auto"/>
                <w:bottom w:val="none" w:sz="0" w:space="0" w:color="auto"/>
                <w:right w:val="none" w:sz="0" w:space="0" w:color="auto"/>
              </w:divBdr>
            </w:div>
            <w:div w:id="176387220">
              <w:marLeft w:val="0"/>
              <w:marRight w:val="0"/>
              <w:marTop w:val="0"/>
              <w:marBottom w:val="0"/>
              <w:divBdr>
                <w:top w:val="none" w:sz="0" w:space="0" w:color="auto"/>
                <w:left w:val="none" w:sz="0" w:space="0" w:color="auto"/>
                <w:bottom w:val="none" w:sz="0" w:space="0" w:color="auto"/>
                <w:right w:val="none" w:sz="0" w:space="0" w:color="auto"/>
              </w:divBdr>
            </w:div>
            <w:div w:id="81683860">
              <w:marLeft w:val="0"/>
              <w:marRight w:val="0"/>
              <w:marTop w:val="0"/>
              <w:marBottom w:val="0"/>
              <w:divBdr>
                <w:top w:val="none" w:sz="0" w:space="0" w:color="auto"/>
                <w:left w:val="none" w:sz="0" w:space="0" w:color="auto"/>
                <w:bottom w:val="none" w:sz="0" w:space="0" w:color="auto"/>
                <w:right w:val="none" w:sz="0" w:space="0" w:color="auto"/>
              </w:divBdr>
            </w:div>
            <w:div w:id="2111657013">
              <w:marLeft w:val="0"/>
              <w:marRight w:val="0"/>
              <w:marTop w:val="0"/>
              <w:marBottom w:val="0"/>
              <w:divBdr>
                <w:top w:val="none" w:sz="0" w:space="0" w:color="auto"/>
                <w:left w:val="none" w:sz="0" w:space="0" w:color="auto"/>
                <w:bottom w:val="none" w:sz="0" w:space="0" w:color="auto"/>
                <w:right w:val="none" w:sz="0" w:space="0" w:color="auto"/>
              </w:divBdr>
            </w:div>
            <w:div w:id="667951733">
              <w:marLeft w:val="0"/>
              <w:marRight w:val="0"/>
              <w:marTop w:val="0"/>
              <w:marBottom w:val="0"/>
              <w:divBdr>
                <w:top w:val="none" w:sz="0" w:space="0" w:color="auto"/>
                <w:left w:val="none" w:sz="0" w:space="0" w:color="auto"/>
                <w:bottom w:val="none" w:sz="0" w:space="0" w:color="auto"/>
                <w:right w:val="none" w:sz="0" w:space="0" w:color="auto"/>
              </w:divBdr>
            </w:div>
          </w:divsChild>
        </w:div>
        <w:div w:id="1065565154">
          <w:marLeft w:val="0"/>
          <w:marRight w:val="0"/>
          <w:marTop w:val="0"/>
          <w:marBottom w:val="0"/>
          <w:divBdr>
            <w:top w:val="none" w:sz="0" w:space="0" w:color="auto"/>
            <w:left w:val="none" w:sz="0" w:space="0" w:color="auto"/>
            <w:bottom w:val="none" w:sz="0" w:space="0" w:color="auto"/>
            <w:right w:val="none" w:sz="0" w:space="0" w:color="auto"/>
          </w:divBdr>
          <w:divsChild>
            <w:div w:id="523523648">
              <w:marLeft w:val="0"/>
              <w:marRight w:val="0"/>
              <w:marTop w:val="0"/>
              <w:marBottom w:val="0"/>
              <w:divBdr>
                <w:top w:val="none" w:sz="0" w:space="0" w:color="auto"/>
                <w:left w:val="none" w:sz="0" w:space="0" w:color="auto"/>
                <w:bottom w:val="none" w:sz="0" w:space="0" w:color="auto"/>
                <w:right w:val="none" w:sz="0" w:space="0" w:color="auto"/>
              </w:divBdr>
            </w:div>
            <w:div w:id="1695497555">
              <w:marLeft w:val="0"/>
              <w:marRight w:val="0"/>
              <w:marTop w:val="0"/>
              <w:marBottom w:val="0"/>
              <w:divBdr>
                <w:top w:val="none" w:sz="0" w:space="0" w:color="auto"/>
                <w:left w:val="none" w:sz="0" w:space="0" w:color="auto"/>
                <w:bottom w:val="none" w:sz="0" w:space="0" w:color="auto"/>
                <w:right w:val="none" w:sz="0" w:space="0" w:color="auto"/>
              </w:divBdr>
            </w:div>
            <w:div w:id="1140146035">
              <w:marLeft w:val="0"/>
              <w:marRight w:val="0"/>
              <w:marTop w:val="0"/>
              <w:marBottom w:val="0"/>
              <w:divBdr>
                <w:top w:val="none" w:sz="0" w:space="0" w:color="auto"/>
                <w:left w:val="none" w:sz="0" w:space="0" w:color="auto"/>
                <w:bottom w:val="none" w:sz="0" w:space="0" w:color="auto"/>
                <w:right w:val="none" w:sz="0" w:space="0" w:color="auto"/>
              </w:divBdr>
            </w:div>
            <w:div w:id="996688580">
              <w:marLeft w:val="0"/>
              <w:marRight w:val="0"/>
              <w:marTop w:val="0"/>
              <w:marBottom w:val="0"/>
              <w:divBdr>
                <w:top w:val="none" w:sz="0" w:space="0" w:color="auto"/>
                <w:left w:val="none" w:sz="0" w:space="0" w:color="auto"/>
                <w:bottom w:val="none" w:sz="0" w:space="0" w:color="auto"/>
                <w:right w:val="none" w:sz="0" w:space="0" w:color="auto"/>
              </w:divBdr>
            </w:div>
            <w:div w:id="1862861231">
              <w:marLeft w:val="0"/>
              <w:marRight w:val="0"/>
              <w:marTop w:val="0"/>
              <w:marBottom w:val="0"/>
              <w:divBdr>
                <w:top w:val="none" w:sz="0" w:space="0" w:color="auto"/>
                <w:left w:val="none" w:sz="0" w:space="0" w:color="auto"/>
                <w:bottom w:val="none" w:sz="0" w:space="0" w:color="auto"/>
                <w:right w:val="none" w:sz="0" w:space="0" w:color="auto"/>
              </w:divBdr>
            </w:div>
            <w:div w:id="698552036">
              <w:marLeft w:val="0"/>
              <w:marRight w:val="0"/>
              <w:marTop w:val="0"/>
              <w:marBottom w:val="0"/>
              <w:divBdr>
                <w:top w:val="none" w:sz="0" w:space="0" w:color="auto"/>
                <w:left w:val="none" w:sz="0" w:space="0" w:color="auto"/>
                <w:bottom w:val="none" w:sz="0" w:space="0" w:color="auto"/>
                <w:right w:val="none" w:sz="0" w:space="0" w:color="auto"/>
              </w:divBdr>
            </w:div>
          </w:divsChild>
        </w:div>
        <w:div w:id="783158432">
          <w:marLeft w:val="0"/>
          <w:marRight w:val="0"/>
          <w:marTop w:val="0"/>
          <w:marBottom w:val="0"/>
          <w:divBdr>
            <w:top w:val="none" w:sz="0" w:space="0" w:color="auto"/>
            <w:left w:val="none" w:sz="0" w:space="0" w:color="auto"/>
            <w:bottom w:val="none" w:sz="0" w:space="0" w:color="auto"/>
            <w:right w:val="none" w:sz="0" w:space="0" w:color="auto"/>
          </w:divBdr>
          <w:divsChild>
            <w:div w:id="2001687175">
              <w:marLeft w:val="0"/>
              <w:marRight w:val="0"/>
              <w:marTop w:val="0"/>
              <w:marBottom w:val="0"/>
              <w:divBdr>
                <w:top w:val="none" w:sz="0" w:space="0" w:color="auto"/>
                <w:left w:val="none" w:sz="0" w:space="0" w:color="auto"/>
                <w:bottom w:val="none" w:sz="0" w:space="0" w:color="auto"/>
                <w:right w:val="none" w:sz="0" w:space="0" w:color="auto"/>
              </w:divBdr>
            </w:div>
            <w:div w:id="330183873">
              <w:marLeft w:val="0"/>
              <w:marRight w:val="0"/>
              <w:marTop w:val="0"/>
              <w:marBottom w:val="0"/>
              <w:divBdr>
                <w:top w:val="none" w:sz="0" w:space="0" w:color="auto"/>
                <w:left w:val="none" w:sz="0" w:space="0" w:color="auto"/>
                <w:bottom w:val="none" w:sz="0" w:space="0" w:color="auto"/>
                <w:right w:val="none" w:sz="0" w:space="0" w:color="auto"/>
              </w:divBdr>
            </w:div>
            <w:div w:id="1578514256">
              <w:marLeft w:val="0"/>
              <w:marRight w:val="0"/>
              <w:marTop w:val="0"/>
              <w:marBottom w:val="0"/>
              <w:divBdr>
                <w:top w:val="none" w:sz="0" w:space="0" w:color="auto"/>
                <w:left w:val="none" w:sz="0" w:space="0" w:color="auto"/>
                <w:bottom w:val="none" w:sz="0" w:space="0" w:color="auto"/>
                <w:right w:val="none" w:sz="0" w:space="0" w:color="auto"/>
              </w:divBdr>
            </w:div>
            <w:div w:id="541672576">
              <w:marLeft w:val="0"/>
              <w:marRight w:val="0"/>
              <w:marTop w:val="0"/>
              <w:marBottom w:val="0"/>
              <w:divBdr>
                <w:top w:val="none" w:sz="0" w:space="0" w:color="auto"/>
                <w:left w:val="none" w:sz="0" w:space="0" w:color="auto"/>
                <w:bottom w:val="none" w:sz="0" w:space="0" w:color="auto"/>
                <w:right w:val="none" w:sz="0" w:space="0" w:color="auto"/>
              </w:divBdr>
            </w:div>
            <w:div w:id="78019945">
              <w:marLeft w:val="0"/>
              <w:marRight w:val="0"/>
              <w:marTop w:val="0"/>
              <w:marBottom w:val="0"/>
              <w:divBdr>
                <w:top w:val="none" w:sz="0" w:space="0" w:color="auto"/>
                <w:left w:val="none" w:sz="0" w:space="0" w:color="auto"/>
                <w:bottom w:val="none" w:sz="0" w:space="0" w:color="auto"/>
                <w:right w:val="none" w:sz="0" w:space="0" w:color="auto"/>
              </w:divBdr>
            </w:div>
            <w:div w:id="1300303764">
              <w:marLeft w:val="0"/>
              <w:marRight w:val="0"/>
              <w:marTop w:val="0"/>
              <w:marBottom w:val="0"/>
              <w:divBdr>
                <w:top w:val="none" w:sz="0" w:space="0" w:color="auto"/>
                <w:left w:val="none" w:sz="0" w:space="0" w:color="auto"/>
                <w:bottom w:val="none" w:sz="0" w:space="0" w:color="auto"/>
                <w:right w:val="none" w:sz="0" w:space="0" w:color="auto"/>
              </w:divBdr>
            </w:div>
          </w:divsChild>
        </w:div>
        <w:div w:id="78019964">
          <w:marLeft w:val="0"/>
          <w:marRight w:val="0"/>
          <w:marTop w:val="0"/>
          <w:marBottom w:val="0"/>
          <w:divBdr>
            <w:top w:val="none" w:sz="0" w:space="0" w:color="auto"/>
            <w:left w:val="none" w:sz="0" w:space="0" w:color="auto"/>
            <w:bottom w:val="none" w:sz="0" w:space="0" w:color="auto"/>
            <w:right w:val="none" w:sz="0" w:space="0" w:color="auto"/>
          </w:divBdr>
          <w:divsChild>
            <w:div w:id="1701928658">
              <w:marLeft w:val="0"/>
              <w:marRight w:val="0"/>
              <w:marTop w:val="0"/>
              <w:marBottom w:val="0"/>
              <w:divBdr>
                <w:top w:val="none" w:sz="0" w:space="0" w:color="auto"/>
                <w:left w:val="none" w:sz="0" w:space="0" w:color="auto"/>
                <w:bottom w:val="none" w:sz="0" w:space="0" w:color="auto"/>
                <w:right w:val="none" w:sz="0" w:space="0" w:color="auto"/>
              </w:divBdr>
            </w:div>
            <w:div w:id="975337539">
              <w:marLeft w:val="0"/>
              <w:marRight w:val="0"/>
              <w:marTop w:val="0"/>
              <w:marBottom w:val="0"/>
              <w:divBdr>
                <w:top w:val="none" w:sz="0" w:space="0" w:color="auto"/>
                <w:left w:val="none" w:sz="0" w:space="0" w:color="auto"/>
                <w:bottom w:val="none" w:sz="0" w:space="0" w:color="auto"/>
                <w:right w:val="none" w:sz="0" w:space="0" w:color="auto"/>
              </w:divBdr>
            </w:div>
            <w:div w:id="1559314629">
              <w:marLeft w:val="0"/>
              <w:marRight w:val="0"/>
              <w:marTop w:val="0"/>
              <w:marBottom w:val="0"/>
              <w:divBdr>
                <w:top w:val="none" w:sz="0" w:space="0" w:color="auto"/>
                <w:left w:val="none" w:sz="0" w:space="0" w:color="auto"/>
                <w:bottom w:val="none" w:sz="0" w:space="0" w:color="auto"/>
                <w:right w:val="none" w:sz="0" w:space="0" w:color="auto"/>
              </w:divBdr>
            </w:div>
            <w:div w:id="1689722794">
              <w:marLeft w:val="0"/>
              <w:marRight w:val="0"/>
              <w:marTop w:val="0"/>
              <w:marBottom w:val="0"/>
              <w:divBdr>
                <w:top w:val="none" w:sz="0" w:space="0" w:color="auto"/>
                <w:left w:val="none" w:sz="0" w:space="0" w:color="auto"/>
                <w:bottom w:val="none" w:sz="0" w:space="0" w:color="auto"/>
                <w:right w:val="none" w:sz="0" w:space="0" w:color="auto"/>
              </w:divBdr>
            </w:div>
            <w:div w:id="1539733379">
              <w:marLeft w:val="0"/>
              <w:marRight w:val="0"/>
              <w:marTop w:val="0"/>
              <w:marBottom w:val="0"/>
              <w:divBdr>
                <w:top w:val="none" w:sz="0" w:space="0" w:color="auto"/>
                <w:left w:val="none" w:sz="0" w:space="0" w:color="auto"/>
                <w:bottom w:val="none" w:sz="0" w:space="0" w:color="auto"/>
                <w:right w:val="none" w:sz="0" w:space="0" w:color="auto"/>
              </w:divBdr>
            </w:div>
            <w:div w:id="2067680865">
              <w:marLeft w:val="0"/>
              <w:marRight w:val="0"/>
              <w:marTop w:val="0"/>
              <w:marBottom w:val="0"/>
              <w:divBdr>
                <w:top w:val="none" w:sz="0" w:space="0" w:color="auto"/>
                <w:left w:val="none" w:sz="0" w:space="0" w:color="auto"/>
                <w:bottom w:val="none" w:sz="0" w:space="0" w:color="auto"/>
                <w:right w:val="none" w:sz="0" w:space="0" w:color="auto"/>
              </w:divBdr>
            </w:div>
          </w:divsChild>
        </w:div>
        <w:div w:id="15741642">
          <w:marLeft w:val="0"/>
          <w:marRight w:val="0"/>
          <w:marTop w:val="0"/>
          <w:marBottom w:val="0"/>
          <w:divBdr>
            <w:top w:val="none" w:sz="0" w:space="0" w:color="auto"/>
            <w:left w:val="none" w:sz="0" w:space="0" w:color="auto"/>
            <w:bottom w:val="none" w:sz="0" w:space="0" w:color="auto"/>
            <w:right w:val="none" w:sz="0" w:space="0" w:color="auto"/>
          </w:divBdr>
          <w:divsChild>
            <w:div w:id="831338442">
              <w:marLeft w:val="0"/>
              <w:marRight w:val="0"/>
              <w:marTop w:val="0"/>
              <w:marBottom w:val="0"/>
              <w:divBdr>
                <w:top w:val="none" w:sz="0" w:space="0" w:color="auto"/>
                <w:left w:val="none" w:sz="0" w:space="0" w:color="auto"/>
                <w:bottom w:val="none" w:sz="0" w:space="0" w:color="auto"/>
                <w:right w:val="none" w:sz="0" w:space="0" w:color="auto"/>
              </w:divBdr>
            </w:div>
            <w:div w:id="1237714360">
              <w:marLeft w:val="0"/>
              <w:marRight w:val="0"/>
              <w:marTop w:val="0"/>
              <w:marBottom w:val="0"/>
              <w:divBdr>
                <w:top w:val="none" w:sz="0" w:space="0" w:color="auto"/>
                <w:left w:val="none" w:sz="0" w:space="0" w:color="auto"/>
                <w:bottom w:val="none" w:sz="0" w:space="0" w:color="auto"/>
                <w:right w:val="none" w:sz="0" w:space="0" w:color="auto"/>
              </w:divBdr>
            </w:div>
            <w:div w:id="1559394592">
              <w:marLeft w:val="0"/>
              <w:marRight w:val="0"/>
              <w:marTop w:val="0"/>
              <w:marBottom w:val="0"/>
              <w:divBdr>
                <w:top w:val="none" w:sz="0" w:space="0" w:color="auto"/>
                <w:left w:val="none" w:sz="0" w:space="0" w:color="auto"/>
                <w:bottom w:val="none" w:sz="0" w:space="0" w:color="auto"/>
                <w:right w:val="none" w:sz="0" w:space="0" w:color="auto"/>
              </w:divBdr>
            </w:div>
            <w:div w:id="2044019982">
              <w:marLeft w:val="0"/>
              <w:marRight w:val="0"/>
              <w:marTop w:val="0"/>
              <w:marBottom w:val="0"/>
              <w:divBdr>
                <w:top w:val="none" w:sz="0" w:space="0" w:color="auto"/>
                <w:left w:val="none" w:sz="0" w:space="0" w:color="auto"/>
                <w:bottom w:val="none" w:sz="0" w:space="0" w:color="auto"/>
                <w:right w:val="none" w:sz="0" w:space="0" w:color="auto"/>
              </w:divBdr>
            </w:div>
            <w:div w:id="1154486375">
              <w:marLeft w:val="0"/>
              <w:marRight w:val="0"/>
              <w:marTop w:val="0"/>
              <w:marBottom w:val="0"/>
              <w:divBdr>
                <w:top w:val="none" w:sz="0" w:space="0" w:color="auto"/>
                <w:left w:val="none" w:sz="0" w:space="0" w:color="auto"/>
                <w:bottom w:val="none" w:sz="0" w:space="0" w:color="auto"/>
                <w:right w:val="none" w:sz="0" w:space="0" w:color="auto"/>
              </w:divBdr>
            </w:div>
            <w:div w:id="1447114325">
              <w:marLeft w:val="0"/>
              <w:marRight w:val="0"/>
              <w:marTop w:val="0"/>
              <w:marBottom w:val="0"/>
              <w:divBdr>
                <w:top w:val="none" w:sz="0" w:space="0" w:color="auto"/>
                <w:left w:val="none" w:sz="0" w:space="0" w:color="auto"/>
                <w:bottom w:val="none" w:sz="0" w:space="0" w:color="auto"/>
                <w:right w:val="none" w:sz="0" w:space="0" w:color="auto"/>
              </w:divBdr>
            </w:div>
          </w:divsChild>
        </w:div>
        <w:div w:id="840049309">
          <w:marLeft w:val="0"/>
          <w:marRight w:val="0"/>
          <w:marTop w:val="0"/>
          <w:marBottom w:val="0"/>
          <w:divBdr>
            <w:top w:val="none" w:sz="0" w:space="0" w:color="auto"/>
            <w:left w:val="none" w:sz="0" w:space="0" w:color="auto"/>
            <w:bottom w:val="none" w:sz="0" w:space="0" w:color="auto"/>
            <w:right w:val="none" w:sz="0" w:space="0" w:color="auto"/>
          </w:divBdr>
          <w:divsChild>
            <w:div w:id="42216293">
              <w:marLeft w:val="0"/>
              <w:marRight w:val="0"/>
              <w:marTop w:val="0"/>
              <w:marBottom w:val="0"/>
              <w:divBdr>
                <w:top w:val="none" w:sz="0" w:space="0" w:color="auto"/>
                <w:left w:val="none" w:sz="0" w:space="0" w:color="auto"/>
                <w:bottom w:val="none" w:sz="0" w:space="0" w:color="auto"/>
                <w:right w:val="none" w:sz="0" w:space="0" w:color="auto"/>
              </w:divBdr>
            </w:div>
            <w:div w:id="1461192662">
              <w:marLeft w:val="0"/>
              <w:marRight w:val="0"/>
              <w:marTop w:val="0"/>
              <w:marBottom w:val="0"/>
              <w:divBdr>
                <w:top w:val="none" w:sz="0" w:space="0" w:color="auto"/>
                <w:left w:val="none" w:sz="0" w:space="0" w:color="auto"/>
                <w:bottom w:val="none" w:sz="0" w:space="0" w:color="auto"/>
                <w:right w:val="none" w:sz="0" w:space="0" w:color="auto"/>
              </w:divBdr>
            </w:div>
            <w:div w:id="927689614">
              <w:marLeft w:val="0"/>
              <w:marRight w:val="0"/>
              <w:marTop w:val="0"/>
              <w:marBottom w:val="0"/>
              <w:divBdr>
                <w:top w:val="none" w:sz="0" w:space="0" w:color="auto"/>
                <w:left w:val="none" w:sz="0" w:space="0" w:color="auto"/>
                <w:bottom w:val="none" w:sz="0" w:space="0" w:color="auto"/>
                <w:right w:val="none" w:sz="0" w:space="0" w:color="auto"/>
              </w:divBdr>
            </w:div>
            <w:div w:id="1309624422">
              <w:marLeft w:val="0"/>
              <w:marRight w:val="0"/>
              <w:marTop w:val="0"/>
              <w:marBottom w:val="0"/>
              <w:divBdr>
                <w:top w:val="none" w:sz="0" w:space="0" w:color="auto"/>
                <w:left w:val="none" w:sz="0" w:space="0" w:color="auto"/>
                <w:bottom w:val="none" w:sz="0" w:space="0" w:color="auto"/>
                <w:right w:val="none" w:sz="0" w:space="0" w:color="auto"/>
              </w:divBdr>
            </w:div>
            <w:div w:id="523636024">
              <w:marLeft w:val="0"/>
              <w:marRight w:val="0"/>
              <w:marTop w:val="0"/>
              <w:marBottom w:val="0"/>
              <w:divBdr>
                <w:top w:val="none" w:sz="0" w:space="0" w:color="auto"/>
                <w:left w:val="none" w:sz="0" w:space="0" w:color="auto"/>
                <w:bottom w:val="none" w:sz="0" w:space="0" w:color="auto"/>
                <w:right w:val="none" w:sz="0" w:space="0" w:color="auto"/>
              </w:divBdr>
            </w:div>
          </w:divsChild>
        </w:div>
        <w:div w:id="211385981">
          <w:marLeft w:val="0"/>
          <w:marRight w:val="0"/>
          <w:marTop w:val="0"/>
          <w:marBottom w:val="0"/>
          <w:divBdr>
            <w:top w:val="none" w:sz="0" w:space="0" w:color="auto"/>
            <w:left w:val="none" w:sz="0" w:space="0" w:color="auto"/>
            <w:bottom w:val="none" w:sz="0" w:space="0" w:color="auto"/>
            <w:right w:val="none" w:sz="0" w:space="0" w:color="auto"/>
          </w:divBdr>
          <w:divsChild>
            <w:div w:id="2042244415">
              <w:marLeft w:val="0"/>
              <w:marRight w:val="0"/>
              <w:marTop w:val="0"/>
              <w:marBottom w:val="0"/>
              <w:divBdr>
                <w:top w:val="none" w:sz="0" w:space="0" w:color="auto"/>
                <w:left w:val="none" w:sz="0" w:space="0" w:color="auto"/>
                <w:bottom w:val="none" w:sz="0" w:space="0" w:color="auto"/>
                <w:right w:val="none" w:sz="0" w:space="0" w:color="auto"/>
              </w:divBdr>
            </w:div>
            <w:div w:id="1671830856">
              <w:marLeft w:val="0"/>
              <w:marRight w:val="0"/>
              <w:marTop w:val="0"/>
              <w:marBottom w:val="0"/>
              <w:divBdr>
                <w:top w:val="none" w:sz="0" w:space="0" w:color="auto"/>
                <w:left w:val="none" w:sz="0" w:space="0" w:color="auto"/>
                <w:bottom w:val="none" w:sz="0" w:space="0" w:color="auto"/>
                <w:right w:val="none" w:sz="0" w:space="0" w:color="auto"/>
              </w:divBdr>
            </w:div>
            <w:div w:id="1533614793">
              <w:marLeft w:val="0"/>
              <w:marRight w:val="0"/>
              <w:marTop w:val="0"/>
              <w:marBottom w:val="0"/>
              <w:divBdr>
                <w:top w:val="none" w:sz="0" w:space="0" w:color="auto"/>
                <w:left w:val="none" w:sz="0" w:space="0" w:color="auto"/>
                <w:bottom w:val="none" w:sz="0" w:space="0" w:color="auto"/>
                <w:right w:val="none" w:sz="0" w:space="0" w:color="auto"/>
              </w:divBdr>
            </w:div>
            <w:div w:id="569655399">
              <w:marLeft w:val="0"/>
              <w:marRight w:val="0"/>
              <w:marTop w:val="0"/>
              <w:marBottom w:val="0"/>
              <w:divBdr>
                <w:top w:val="none" w:sz="0" w:space="0" w:color="auto"/>
                <w:left w:val="none" w:sz="0" w:space="0" w:color="auto"/>
                <w:bottom w:val="none" w:sz="0" w:space="0" w:color="auto"/>
                <w:right w:val="none" w:sz="0" w:space="0" w:color="auto"/>
              </w:divBdr>
            </w:div>
            <w:div w:id="1007365497">
              <w:marLeft w:val="0"/>
              <w:marRight w:val="0"/>
              <w:marTop w:val="0"/>
              <w:marBottom w:val="0"/>
              <w:divBdr>
                <w:top w:val="none" w:sz="0" w:space="0" w:color="auto"/>
                <w:left w:val="none" w:sz="0" w:space="0" w:color="auto"/>
                <w:bottom w:val="none" w:sz="0" w:space="0" w:color="auto"/>
                <w:right w:val="none" w:sz="0" w:space="0" w:color="auto"/>
              </w:divBdr>
            </w:div>
          </w:divsChild>
        </w:div>
        <w:div w:id="552279892">
          <w:marLeft w:val="0"/>
          <w:marRight w:val="0"/>
          <w:marTop w:val="0"/>
          <w:marBottom w:val="0"/>
          <w:divBdr>
            <w:top w:val="none" w:sz="0" w:space="0" w:color="auto"/>
            <w:left w:val="none" w:sz="0" w:space="0" w:color="auto"/>
            <w:bottom w:val="none" w:sz="0" w:space="0" w:color="auto"/>
            <w:right w:val="none" w:sz="0" w:space="0" w:color="auto"/>
          </w:divBdr>
          <w:divsChild>
            <w:div w:id="877936098">
              <w:marLeft w:val="0"/>
              <w:marRight w:val="0"/>
              <w:marTop w:val="0"/>
              <w:marBottom w:val="0"/>
              <w:divBdr>
                <w:top w:val="none" w:sz="0" w:space="0" w:color="auto"/>
                <w:left w:val="none" w:sz="0" w:space="0" w:color="auto"/>
                <w:bottom w:val="none" w:sz="0" w:space="0" w:color="auto"/>
                <w:right w:val="none" w:sz="0" w:space="0" w:color="auto"/>
              </w:divBdr>
            </w:div>
          </w:divsChild>
        </w:div>
        <w:div w:id="1178616302">
          <w:marLeft w:val="0"/>
          <w:marRight w:val="0"/>
          <w:marTop w:val="0"/>
          <w:marBottom w:val="0"/>
          <w:divBdr>
            <w:top w:val="none" w:sz="0" w:space="0" w:color="auto"/>
            <w:left w:val="none" w:sz="0" w:space="0" w:color="auto"/>
            <w:bottom w:val="none" w:sz="0" w:space="0" w:color="auto"/>
            <w:right w:val="none" w:sz="0" w:space="0" w:color="auto"/>
          </w:divBdr>
          <w:divsChild>
            <w:div w:id="2040547145">
              <w:marLeft w:val="0"/>
              <w:marRight w:val="0"/>
              <w:marTop w:val="0"/>
              <w:marBottom w:val="0"/>
              <w:divBdr>
                <w:top w:val="none" w:sz="0" w:space="0" w:color="auto"/>
                <w:left w:val="none" w:sz="0" w:space="0" w:color="auto"/>
                <w:bottom w:val="none" w:sz="0" w:space="0" w:color="auto"/>
                <w:right w:val="none" w:sz="0" w:space="0" w:color="auto"/>
              </w:divBdr>
            </w:div>
          </w:divsChild>
        </w:div>
        <w:div w:id="1617105341">
          <w:marLeft w:val="0"/>
          <w:marRight w:val="0"/>
          <w:marTop w:val="0"/>
          <w:marBottom w:val="0"/>
          <w:divBdr>
            <w:top w:val="none" w:sz="0" w:space="0" w:color="auto"/>
            <w:left w:val="none" w:sz="0" w:space="0" w:color="auto"/>
            <w:bottom w:val="none" w:sz="0" w:space="0" w:color="auto"/>
            <w:right w:val="none" w:sz="0" w:space="0" w:color="auto"/>
          </w:divBdr>
          <w:divsChild>
            <w:div w:id="1529368060">
              <w:marLeft w:val="0"/>
              <w:marRight w:val="0"/>
              <w:marTop w:val="0"/>
              <w:marBottom w:val="0"/>
              <w:divBdr>
                <w:top w:val="none" w:sz="0" w:space="0" w:color="auto"/>
                <w:left w:val="none" w:sz="0" w:space="0" w:color="auto"/>
                <w:bottom w:val="none" w:sz="0" w:space="0" w:color="auto"/>
                <w:right w:val="none" w:sz="0" w:space="0" w:color="auto"/>
              </w:divBdr>
            </w:div>
          </w:divsChild>
        </w:div>
        <w:div w:id="1215700940">
          <w:marLeft w:val="0"/>
          <w:marRight w:val="0"/>
          <w:marTop w:val="0"/>
          <w:marBottom w:val="0"/>
          <w:divBdr>
            <w:top w:val="none" w:sz="0" w:space="0" w:color="auto"/>
            <w:left w:val="none" w:sz="0" w:space="0" w:color="auto"/>
            <w:bottom w:val="none" w:sz="0" w:space="0" w:color="auto"/>
            <w:right w:val="none" w:sz="0" w:space="0" w:color="auto"/>
          </w:divBdr>
          <w:divsChild>
            <w:div w:id="20881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9050">
      <w:bodyDiv w:val="1"/>
      <w:marLeft w:val="0"/>
      <w:marRight w:val="0"/>
      <w:marTop w:val="0"/>
      <w:marBottom w:val="0"/>
      <w:divBdr>
        <w:top w:val="none" w:sz="0" w:space="0" w:color="auto"/>
        <w:left w:val="none" w:sz="0" w:space="0" w:color="auto"/>
        <w:bottom w:val="none" w:sz="0" w:space="0" w:color="auto"/>
        <w:right w:val="none" w:sz="0" w:space="0" w:color="auto"/>
      </w:divBdr>
    </w:div>
    <w:div w:id="1962570659">
      <w:bodyDiv w:val="1"/>
      <w:marLeft w:val="0"/>
      <w:marRight w:val="0"/>
      <w:marTop w:val="0"/>
      <w:marBottom w:val="0"/>
      <w:divBdr>
        <w:top w:val="none" w:sz="0" w:space="0" w:color="auto"/>
        <w:left w:val="none" w:sz="0" w:space="0" w:color="auto"/>
        <w:bottom w:val="none" w:sz="0" w:space="0" w:color="auto"/>
        <w:right w:val="none" w:sz="0" w:space="0" w:color="auto"/>
      </w:divBdr>
    </w:div>
    <w:div w:id="2097283945">
      <w:bodyDiv w:val="1"/>
      <w:marLeft w:val="0"/>
      <w:marRight w:val="0"/>
      <w:marTop w:val="0"/>
      <w:marBottom w:val="0"/>
      <w:divBdr>
        <w:top w:val="none" w:sz="0" w:space="0" w:color="auto"/>
        <w:left w:val="none" w:sz="0" w:space="0" w:color="auto"/>
        <w:bottom w:val="none" w:sz="0" w:space="0" w:color="auto"/>
        <w:right w:val="none" w:sz="0" w:space="0" w:color="auto"/>
      </w:divBdr>
      <w:divsChild>
        <w:div w:id="367265652">
          <w:marLeft w:val="0"/>
          <w:marRight w:val="0"/>
          <w:marTop w:val="0"/>
          <w:marBottom w:val="300"/>
          <w:divBdr>
            <w:top w:val="none" w:sz="0" w:space="0" w:color="auto"/>
            <w:left w:val="none" w:sz="0" w:space="0" w:color="auto"/>
            <w:bottom w:val="none" w:sz="0" w:space="0" w:color="auto"/>
            <w:right w:val="none" w:sz="0" w:space="0" w:color="auto"/>
          </w:divBdr>
        </w:div>
        <w:div w:id="1695426566">
          <w:marLeft w:val="0"/>
          <w:marRight w:val="450"/>
          <w:marTop w:val="0"/>
          <w:marBottom w:val="750"/>
          <w:divBdr>
            <w:top w:val="none" w:sz="0" w:space="0" w:color="auto"/>
            <w:left w:val="none" w:sz="0" w:space="0" w:color="auto"/>
            <w:bottom w:val="none" w:sz="0" w:space="0" w:color="auto"/>
            <w:right w:val="none" w:sz="0" w:space="0" w:color="auto"/>
          </w:divBdr>
        </w:div>
      </w:divsChild>
    </w:div>
    <w:div w:id="2137983296">
      <w:bodyDiv w:val="1"/>
      <w:marLeft w:val="0"/>
      <w:marRight w:val="0"/>
      <w:marTop w:val="0"/>
      <w:marBottom w:val="0"/>
      <w:divBdr>
        <w:top w:val="none" w:sz="0" w:space="0" w:color="auto"/>
        <w:left w:val="none" w:sz="0" w:space="0" w:color="auto"/>
        <w:bottom w:val="none" w:sz="0" w:space="0" w:color="auto"/>
        <w:right w:val="none" w:sz="0" w:space="0" w:color="auto"/>
      </w:divBdr>
      <w:divsChild>
        <w:div w:id="205457426">
          <w:marLeft w:val="0"/>
          <w:marRight w:val="0"/>
          <w:marTop w:val="0"/>
          <w:marBottom w:val="0"/>
          <w:divBdr>
            <w:top w:val="none" w:sz="0" w:space="0" w:color="auto"/>
            <w:left w:val="none" w:sz="0" w:space="0" w:color="auto"/>
            <w:bottom w:val="none" w:sz="0" w:space="0" w:color="auto"/>
            <w:right w:val="none" w:sz="0" w:space="0" w:color="auto"/>
          </w:divBdr>
        </w:div>
        <w:div w:id="254411823">
          <w:marLeft w:val="0"/>
          <w:marRight w:val="0"/>
          <w:marTop w:val="0"/>
          <w:marBottom w:val="0"/>
          <w:divBdr>
            <w:top w:val="none" w:sz="0" w:space="0" w:color="auto"/>
            <w:left w:val="none" w:sz="0" w:space="0" w:color="auto"/>
            <w:bottom w:val="none" w:sz="0" w:space="0" w:color="auto"/>
            <w:right w:val="none" w:sz="0" w:space="0" w:color="auto"/>
          </w:divBdr>
        </w:div>
        <w:div w:id="349376047">
          <w:marLeft w:val="0"/>
          <w:marRight w:val="0"/>
          <w:marTop w:val="0"/>
          <w:marBottom w:val="0"/>
          <w:divBdr>
            <w:top w:val="none" w:sz="0" w:space="0" w:color="auto"/>
            <w:left w:val="none" w:sz="0" w:space="0" w:color="auto"/>
            <w:bottom w:val="none" w:sz="0" w:space="0" w:color="auto"/>
            <w:right w:val="none" w:sz="0" w:space="0" w:color="auto"/>
          </w:divBdr>
        </w:div>
        <w:div w:id="396514548">
          <w:marLeft w:val="0"/>
          <w:marRight w:val="0"/>
          <w:marTop w:val="0"/>
          <w:marBottom w:val="0"/>
          <w:divBdr>
            <w:top w:val="none" w:sz="0" w:space="0" w:color="auto"/>
            <w:left w:val="none" w:sz="0" w:space="0" w:color="auto"/>
            <w:bottom w:val="none" w:sz="0" w:space="0" w:color="auto"/>
            <w:right w:val="none" w:sz="0" w:space="0" w:color="auto"/>
          </w:divBdr>
        </w:div>
        <w:div w:id="398284581">
          <w:marLeft w:val="0"/>
          <w:marRight w:val="0"/>
          <w:marTop w:val="0"/>
          <w:marBottom w:val="0"/>
          <w:divBdr>
            <w:top w:val="none" w:sz="0" w:space="0" w:color="auto"/>
            <w:left w:val="none" w:sz="0" w:space="0" w:color="auto"/>
            <w:bottom w:val="none" w:sz="0" w:space="0" w:color="auto"/>
            <w:right w:val="none" w:sz="0" w:space="0" w:color="auto"/>
          </w:divBdr>
        </w:div>
        <w:div w:id="471213184">
          <w:marLeft w:val="0"/>
          <w:marRight w:val="0"/>
          <w:marTop w:val="0"/>
          <w:marBottom w:val="0"/>
          <w:divBdr>
            <w:top w:val="none" w:sz="0" w:space="0" w:color="auto"/>
            <w:left w:val="none" w:sz="0" w:space="0" w:color="auto"/>
            <w:bottom w:val="none" w:sz="0" w:space="0" w:color="auto"/>
            <w:right w:val="none" w:sz="0" w:space="0" w:color="auto"/>
          </w:divBdr>
        </w:div>
        <w:div w:id="545721832">
          <w:marLeft w:val="0"/>
          <w:marRight w:val="0"/>
          <w:marTop w:val="0"/>
          <w:marBottom w:val="0"/>
          <w:divBdr>
            <w:top w:val="none" w:sz="0" w:space="0" w:color="auto"/>
            <w:left w:val="none" w:sz="0" w:space="0" w:color="auto"/>
            <w:bottom w:val="none" w:sz="0" w:space="0" w:color="auto"/>
            <w:right w:val="none" w:sz="0" w:space="0" w:color="auto"/>
          </w:divBdr>
        </w:div>
        <w:div w:id="552619738">
          <w:marLeft w:val="0"/>
          <w:marRight w:val="0"/>
          <w:marTop w:val="0"/>
          <w:marBottom w:val="0"/>
          <w:divBdr>
            <w:top w:val="none" w:sz="0" w:space="0" w:color="auto"/>
            <w:left w:val="none" w:sz="0" w:space="0" w:color="auto"/>
            <w:bottom w:val="none" w:sz="0" w:space="0" w:color="auto"/>
            <w:right w:val="none" w:sz="0" w:space="0" w:color="auto"/>
          </w:divBdr>
        </w:div>
        <w:div w:id="726731253">
          <w:marLeft w:val="0"/>
          <w:marRight w:val="0"/>
          <w:marTop w:val="0"/>
          <w:marBottom w:val="0"/>
          <w:divBdr>
            <w:top w:val="none" w:sz="0" w:space="0" w:color="auto"/>
            <w:left w:val="none" w:sz="0" w:space="0" w:color="auto"/>
            <w:bottom w:val="none" w:sz="0" w:space="0" w:color="auto"/>
            <w:right w:val="none" w:sz="0" w:space="0" w:color="auto"/>
          </w:divBdr>
        </w:div>
        <w:div w:id="744380230">
          <w:marLeft w:val="0"/>
          <w:marRight w:val="0"/>
          <w:marTop w:val="0"/>
          <w:marBottom w:val="0"/>
          <w:divBdr>
            <w:top w:val="none" w:sz="0" w:space="0" w:color="auto"/>
            <w:left w:val="none" w:sz="0" w:space="0" w:color="auto"/>
            <w:bottom w:val="none" w:sz="0" w:space="0" w:color="auto"/>
            <w:right w:val="none" w:sz="0" w:space="0" w:color="auto"/>
          </w:divBdr>
        </w:div>
        <w:div w:id="820924116">
          <w:marLeft w:val="0"/>
          <w:marRight w:val="0"/>
          <w:marTop w:val="0"/>
          <w:marBottom w:val="0"/>
          <w:divBdr>
            <w:top w:val="none" w:sz="0" w:space="0" w:color="auto"/>
            <w:left w:val="none" w:sz="0" w:space="0" w:color="auto"/>
            <w:bottom w:val="none" w:sz="0" w:space="0" w:color="auto"/>
            <w:right w:val="none" w:sz="0" w:space="0" w:color="auto"/>
          </w:divBdr>
        </w:div>
        <w:div w:id="914364870">
          <w:marLeft w:val="0"/>
          <w:marRight w:val="0"/>
          <w:marTop w:val="0"/>
          <w:marBottom w:val="0"/>
          <w:divBdr>
            <w:top w:val="none" w:sz="0" w:space="0" w:color="auto"/>
            <w:left w:val="none" w:sz="0" w:space="0" w:color="auto"/>
            <w:bottom w:val="none" w:sz="0" w:space="0" w:color="auto"/>
            <w:right w:val="none" w:sz="0" w:space="0" w:color="auto"/>
          </w:divBdr>
        </w:div>
        <w:div w:id="1004818950">
          <w:marLeft w:val="0"/>
          <w:marRight w:val="0"/>
          <w:marTop w:val="0"/>
          <w:marBottom w:val="0"/>
          <w:divBdr>
            <w:top w:val="none" w:sz="0" w:space="0" w:color="auto"/>
            <w:left w:val="none" w:sz="0" w:space="0" w:color="auto"/>
            <w:bottom w:val="none" w:sz="0" w:space="0" w:color="auto"/>
            <w:right w:val="none" w:sz="0" w:space="0" w:color="auto"/>
          </w:divBdr>
        </w:div>
        <w:div w:id="1014192823">
          <w:marLeft w:val="0"/>
          <w:marRight w:val="0"/>
          <w:marTop w:val="0"/>
          <w:marBottom w:val="0"/>
          <w:divBdr>
            <w:top w:val="none" w:sz="0" w:space="0" w:color="auto"/>
            <w:left w:val="none" w:sz="0" w:space="0" w:color="auto"/>
            <w:bottom w:val="none" w:sz="0" w:space="0" w:color="auto"/>
            <w:right w:val="none" w:sz="0" w:space="0" w:color="auto"/>
          </w:divBdr>
        </w:div>
        <w:div w:id="1028484209">
          <w:marLeft w:val="0"/>
          <w:marRight w:val="0"/>
          <w:marTop w:val="0"/>
          <w:marBottom w:val="0"/>
          <w:divBdr>
            <w:top w:val="none" w:sz="0" w:space="0" w:color="auto"/>
            <w:left w:val="none" w:sz="0" w:space="0" w:color="auto"/>
            <w:bottom w:val="none" w:sz="0" w:space="0" w:color="auto"/>
            <w:right w:val="none" w:sz="0" w:space="0" w:color="auto"/>
          </w:divBdr>
        </w:div>
        <w:div w:id="1039235657">
          <w:marLeft w:val="0"/>
          <w:marRight w:val="0"/>
          <w:marTop w:val="0"/>
          <w:marBottom w:val="0"/>
          <w:divBdr>
            <w:top w:val="none" w:sz="0" w:space="0" w:color="auto"/>
            <w:left w:val="none" w:sz="0" w:space="0" w:color="auto"/>
            <w:bottom w:val="none" w:sz="0" w:space="0" w:color="auto"/>
            <w:right w:val="none" w:sz="0" w:space="0" w:color="auto"/>
          </w:divBdr>
        </w:div>
        <w:div w:id="1044867424">
          <w:marLeft w:val="0"/>
          <w:marRight w:val="0"/>
          <w:marTop w:val="0"/>
          <w:marBottom w:val="0"/>
          <w:divBdr>
            <w:top w:val="none" w:sz="0" w:space="0" w:color="auto"/>
            <w:left w:val="none" w:sz="0" w:space="0" w:color="auto"/>
            <w:bottom w:val="none" w:sz="0" w:space="0" w:color="auto"/>
            <w:right w:val="none" w:sz="0" w:space="0" w:color="auto"/>
          </w:divBdr>
        </w:div>
        <w:div w:id="1087460912">
          <w:marLeft w:val="0"/>
          <w:marRight w:val="0"/>
          <w:marTop w:val="0"/>
          <w:marBottom w:val="0"/>
          <w:divBdr>
            <w:top w:val="none" w:sz="0" w:space="0" w:color="auto"/>
            <w:left w:val="none" w:sz="0" w:space="0" w:color="auto"/>
            <w:bottom w:val="none" w:sz="0" w:space="0" w:color="auto"/>
            <w:right w:val="none" w:sz="0" w:space="0" w:color="auto"/>
          </w:divBdr>
        </w:div>
        <w:div w:id="1284309139">
          <w:marLeft w:val="0"/>
          <w:marRight w:val="0"/>
          <w:marTop w:val="0"/>
          <w:marBottom w:val="0"/>
          <w:divBdr>
            <w:top w:val="none" w:sz="0" w:space="0" w:color="auto"/>
            <w:left w:val="none" w:sz="0" w:space="0" w:color="auto"/>
            <w:bottom w:val="none" w:sz="0" w:space="0" w:color="auto"/>
            <w:right w:val="none" w:sz="0" w:space="0" w:color="auto"/>
          </w:divBdr>
        </w:div>
        <w:div w:id="1317027533">
          <w:marLeft w:val="0"/>
          <w:marRight w:val="0"/>
          <w:marTop w:val="0"/>
          <w:marBottom w:val="0"/>
          <w:divBdr>
            <w:top w:val="none" w:sz="0" w:space="0" w:color="auto"/>
            <w:left w:val="none" w:sz="0" w:space="0" w:color="auto"/>
            <w:bottom w:val="none" w:sz="0" w:space="0" w:color="auto"/>
            <w:right w:val="none" w:sz="0" w:space="0" w:color="auto"/>
          </w:divBdr>
        </w:div>
        <w:div w:id="1384525222">
          <w:marLeft w:val="0"/>
          <w:marRight w:val="0"/>
          <w:marTop w:val="0"/>
          <w:marBottom w:val="0"/>
          <w:divBdr>
            <w:top w:val="none" w:sz="0" w:space="0" w:color="auto"/>
            <w:left w:val="none" w:sz="0" w:space="0" w:color="auto"/>
            <w:bottom w:val="none" w:sz="0" w:space="0" w:color="auto"/>
            <w:right w:val="none" w:sz="0" w:space="0" w:color="auto"/>
          </w:divBdr>
        </w:div>
        <w:div w:id="1531531006">
          <w:marLeft w:val="0"/>
          <w:marRight w:val="0"/>
          <w:marTop w:val="0"/>
          <w:marBottom w:val="0"/>
          <w:divBdr>
            <w:top w:val="none" w:sz="0" w:space="0" w:color="auto"/>
            <w:left w:val="none" w:sz="0" w:space="0" w:color="auto"/>
            <w:bottom w:val="none" w:sz="0" w:space="0" w:color="auto"/>
            <w:right w:val="none" w:sz="0" w:space="0" w:color="auto"/>
          </w:divBdr>
        </w:div>
        <w:div w:id="1613780659">
          <w:marLeft w:val="0"/>
          <w:marRight w:val="0"/>
          <w:marTop w:val="0"/>
          <w:marBottom w:val="0"/>
          <w:divBdr>
            <w:top w:val="none" w:sz="0" w:space="0" w:color="auto"/>
            <w:left w:val="none" w:sz="0" w:space="0" w:color="auto"/>
            <w:bottom w:val="none" w:sz="0" w:space="0" w:color="auto"/>
            <w:right w:val="none" w:sz="0" w:space="0" w:color="auto"/>
          </w:divBdr>
        </w:div>
        <w:div w:id="1831940247">
          <w:marLeft w:val="0"/>
          <w:marRight w:val="0"/>
          <w:marTop w:val="0"/>
          <w:marBottom w:val="0"/>
          <w:divBdr>
            <w:top w:val="none" w:sz="0" w:space="0" w:color="auto"/>
            <w:left w:val="none" w:sz="0" w:space="0" w:color="auto"/>
            <w:bottom w:val="none" w:sz="0" w:space="0" w:color="auto"/>
            <w:right w:val="none" w:sz="0" w:space="0" w:color="auto"/>
          </w:divBdr>
        </w:div>
        <w:div w:id="2098398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omments" Target="/word/comments.xml" Id="Rd6ad6f9b46884337" /><Relationship Type="http://schemas.microsoft.com/office/2011/relationships/people" Target="/word/people.xml" Id="Rd5beb98781d64197" /><Relationship Type="http://schemas.microsoft.com/office/2011/relationships/commentsExtended" Target="/word/commentsExtended.xml" Id="R43aaf63251c142b3" /><Relationship Type="http://schemas.microsoft.com/office/2016/09/relationships/commentsIds" Target="/word/commentsIds.xml" Id="R06b03c6d73744bc0" /><Relationship Type="http://schemas.microsoft.com/office/2018/08/relationships/commentsExtensible" Target="/word/commentsExtensible.xml" Id="R55b097fd53714318" /><Relationship Type="http://schemas.openxmlformats.org/officeDocument/2006/relationships/image" Target="/media/image3.png" Id="Rc2e62c6c4aec4cb7" /></Relationships>
</file>

<file path=word/_rels/header1.xml.rels>&#65279;<?xml version="1.0" encoding="utf-8"?><Relationships xmlns="http://schemas.openxmlformats.org/package/2006/relationships"><Relationship Type="http://schemas.openxmlformats.org/officeDocument/2006/relationships/image" Target="/media/image4.jpg" Id="R44ef7529ee3249dd" /></Relationships>
</file>

<file path=word/_rels/header2.xml.rels>&#65279;<?xml version="1.0" encoding="utf-8"?><Relationships xmlns="http://schemas.openxmlformats.org/package/2006/relationships"><Relationship Type="http://schemas.openxmlformats.org/officeDocument/2006/relationships/image" Target="/media/image5.jpg" Id="R0bc785d036ed45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B240DCDC4B384EADB7D6711228A543" ma:contentTypeVersion="12" ma:contentTypeDescription="Criar um novo documento." ma:contentTypeScope="" ma:versionID="7fe079b16610b40b68f6dcc601612e57">
  <xsd:schema xmlns:xsd="http://www.w3.org/2001/XMLSchema" xmlns:xs="http://www.w3.org/2001/XMLSchema" xmlns:p="http://schemas.microsoft.com/office/2006/metadata/properties" xmlns:ns2="0c1c5351-a112-4b2a-b70b-1370e783f43a" xmlns:ns3="3bc4f0db-8e16-4801-97ab-efe7d9bb871f" targetNamespace="http://schemas.microsoft.com/office/2006/metadata/properties" ma:root="true" ma:fieldsID="9c6f96c3e26b958f798324b4a744c887" ns2:_="" ns3:_="">
    <xsd:import namespace="0c1c5351-a112-4b2a-b70b-1370e783f43a"/>
    <xsd:import namespace="3bc4f0db-8e16-4801-97ab-efe7d9bb87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c5351-a112-4b2a-b70b-1370e783f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4f0db-8e16-4801-97ab-efe7d9bb871f"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BD2A-D616-4470-AEDA-5E7EAEC6A2E7}"/>
</file>

<file path=customXml/itemProps2.xml><?xml version="1.0" encoding="utf-8"?>
<ds:datastoreItem xmlns:ds="http://schemas.openxmlformats.org/officeDocument/2006/customXml" ds:itemID="{7EDD6576-3F7B-4B91-BB1A-8BA0740BC149}">
  <ds:schemaRefs>
    <ds:schemaRef ds:uri="http://schemas.microsoft.com/sharepoint/v3/contenttype/forms"/>
  </ds:schemaRefs>
</ds:datastoreItem>
</file>

<file path=customXml/itemProps3.xml><?xml version="1.0" encoding="utf-8"?>
<ds:datastoreItem xmlns:ds="http://schemas.openxmlformats.org/officeDocument/2006/customXml" ds:itemID="{05969BA1-8970-45FB-BA2F-8F783D51C5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E706B6-52E2-8A4E-A320-697E559F43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Marcelo Nogueira Mallen da Silva</dc:creator>
  <keywords/>
  <dc:description/>
  <lastModifiedBy>Priscila Cunha do Nascimento</lastModifiedBy>
  <revision>16</revision>
  <lastPrinted>2021-04-19T19:55:00.0000000Z</lastPrinted>
  <dcterms:created xsi:type="dcterms:W3CDTF">2021-06-28T18:26:00.0000000Z</dcterms:created>
  <dcterms:modified xsi:type="dcterms:W3CDTF">2021-06-29T13:35:01.3127278Z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2020-01-27T00:00:00Z</vt:filetime>
  </property>
  <property fmtid="{D5CDD505-2E9C-101B-9397-08002B2CF9AE}" pid="5" name="ContentTypeId">
    <vt:lpwstr>0x0101004EB240DCDC4B384EADB7D6711228A543</vt:lpwstr>
  </property>
</Properties>
</file>