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52" w:rsidRPr="00B741DD" w:rsidRDefault="00235B52" w:rsidP="00235B52">
      <w:pPr>
        <w:pStyle w:val="SchedApps"/>
      </w:pPr>
      <w:bookmarkStart w:id="0" w:name="_Toc140295498"/>
      <w:bookmarkStart w:id="1" w:name="_Toc400007101"/>
      <w:bookmarkStart w:id="2" w:name="_Toc516733384"/>
      <w:bookmarkStart w:id="3" w:name="_Toc447792939"/>
      <w:bookmarkStart w:id="4" w:name="_Toc428503829"/>
      <w:bookmarkStart w:id="5" w:name="_Toc480049191"/>
      <w:r w:rsidRPr="00B741DD">
        <w:t>Anexo 2</w:t>
      </w:r>
      <w:r w:rsidRPr="00B741DD">
        <w:br/>
        <w:t>Termos e Condições Mínimas do Seguro-Garantia</w:t>
      </w:r>
      <w:bookmarkEnd w:id="0"/>
      <w:bookmarkEnd w:id="1"/>
      <w:bookmarkEnd w:id="2"/>
      <w:bookmarkEnd w:id="3"/>
      <w:bookmarkEnd w:id="4"/>
      <w:bookmarkEnd w:id="5"/>
    </w:p>
    <w:p w:rsidR="00235B52" w:rsidRPr="008840CD" w:rsidRDefault="00235B52" w:rsidP="00235B52">
      <w:pPr>
        <w:pStyle w:val="Schedule1"/>
        <w:rPr>
          <w:szCs w:val="20"/>
        </w:rPr>
      </w:pPr>
      <w:r w:rsidRPr="008840CD">
        <w:rPr>
          <w:b/>
          <w:szCs w:val="20"/>
        </w:rPr>
        <w:t>Tomador</w:t>
      </w:r>
      <w:r w:rsidR="00A56638" w:rsidRPr="008840CD">
        <w:rPr>
          <w:b/>
          <w:szCs w:val="20"/>
        </w:rPr>
        <w:t>:</w:t>
      </w:r>
    </w:p>
    <w:p w:rsidR="00A56638" w:rsidRPr="008840CD" w:rsidRDefault="00A56638" w:rsidP="00A56638">
      <w:pPr>
        <w:pStyle w:val="Schedule2"/>
        <w:tabs>
          <w:tab w:val="clear" w:pos="1580"/>
          <w:tab w:val="num" w:pos="1276"/>
        </w:tabs>
        <w:ind w:hanging="1013"/>
        <w:rPr>
          <w:szCs w:val="20"/>
        </w:rPr>
      </w:pPr>
      <w:r w:rsidRPr="008840CD">
        <w:rPr>
          <w:szCs w:val="20"/>
        </w:rPr>
        <w:t>Razão Social: PROPONENTE [denominação social da PROPONENTE]</w:t>
      </w:r>
    </w:p>
    <w:p w:rsidR="00A56638" w:rsidRPr="008840CD" w:rsidRDefault="00A56638" w:rsidP="00A56638">
      <w:pPr>
        <w:tabs>
          <w:tab w:val="left" w:pos="708"/>
          <w:tab w:val="num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 w:firstLine="709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CNPJ/MF:</w:t>
      </w:r>
    </w:p>
    <w:p w:rsidR="00A56638" w:rsidRPr="008840CD" w:rsidRDefault="00A56638" w:rsidP="00A56638">
      <w:pPr>
        <w:tabs>
          <w:tab w:val="left" w:pos="708"/>
          <w:tab w:val="num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 w:firstLine="709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Sede:</w:t>
      </w:r>
    </w:p>
    <w:p w:rsidR="00A56638" w:rsidRPr="008840CD" w:rsidRDefault="00A56638" w:rsidP="00A56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</w:p>
    <w:p w:rsidR="00235B52" w:rsidRPr="008840CD" w:rsidRDefault="00235B52" w:rsidP="00235B52">
      <w:pPr>
        <w:pStyle w:val="Schedule1"/>
        <w:spacing w:line="281" w:lineRule="auto"/>
        <w:rPr>
          <w:b/>
          <w:szCs w:val="20"/>
        </w:rPr>
      </w:pPr>
      <w:r w:rsidRPr="008840CD">
        <w:rPr>
          <w:b/>
          <w:szCs w:val="20"/>
        </w:rPr>
        <w:t>Segurado</w:t>
      </w:r>
      <w:r w:rsidR="00A56638" w:rsidRPr="008840CD">
        <w:rPr>
          <w:b/>
          <w:szCs w:val="20"/>
        </w:rPr>
        <w:t>:</w:t>
      </w:r>
      <w:r w:rsidRPr="008840CD">
        <w:rPr>
          <w:b/>
          <w:szCs w:val="20"/>
        </w:rPr>
        <w:t xml:space="preserve"> </w:t>
      </w:r>
    </w:p>
    <w:p w:rsidR="00A56638" w:rsidRPr="008840CD" w:rsidRDefault="00A56638" w:rsidP="00A56638">
      <w:pPr>
        <w:pStyle w:val="Schedule2"/>
        <w:tabs>
          <w:tab w:val="clear" w:pos="1580"/>
          <w:tab w:val="num" w:pos="1276"/>
        </w:tabs>
        <w:ind w:hanging="1013"/>
        <w:rPr>
          <w:rStyle w:val="MSGENFONTSTYLENAMETEMPLATEROLEMSGENFONTSTYLENAMEBYROLETEXT"/>
          <w:sz w:val="20"/>
          <w:szCs w:val="20"/>
        </w:rPr>
      </w:pPr>
      <w:r w:rsidRPr="008840CD">
        <w:rPr>
          <w:szCs w:val="20"/>
        </w:rPr>
        <w:t>Razão Social</w:t>
      </w:r>
      <w:r w:rsidRPr="008840CD">
        <w:rPr>
          <w:rStyle w:val="MSGENFONTSTYLENAMETEMPLATEROLEMSGENFONTSTYLENAMEBYROLETEXT"/>
          <w:sz w:val="20"/>
          <w:szCs w:val="20"/>
        </w:rPr>
        <w:t>: AGÊNCIA NACIONAL DE TRANSPORTES TERRESTES – ANTT.</w:t>
      </w:r>
    </w:p>
    <w:p w:rsidR="00A56638" w:rsidRPr="008840CD" w:rsidRDefault="00A56638" w:rsidP="00A56638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276"/>
        <w:jc w:val="both"/>
        <w:rPr>
          <w:rStyle w:val="MSGENFONTSTYLENAMETEMPLATEROLEMSGENFONTSTYLENAMEBYROLETEXT"/>
          <w:sz w:val="20"/>
          <w:szCs w:val="20"/>
        </w:rPr>
      </w:pPr>
      <w:r w:rsidRPr="008840CD">
        <w:rPr>
          <w:rStyle w:val="MSGENFONTSTYLENAMETEMPLATEROLEMSGENFONTSTYLENAMEBYROLETEXT"/>
          <w:sz w:val="20"/>
          <w:szCs w:val="20"/>
        </w:rPr>
        <w:t>CNPJ/MF: 04.898.488/0001-77.</w:t>
      </w:r>
    </w:p>
    <w:p w:rsidR="00A56638" w:rsidRPr="008840CD" w:rsidRDefault="00A56638" w:rsidP="00A56638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276"/>
        <w:jc w:val="both"/>
        <w:rPr>
          <w:rStyle w:val="MSGENFONTSTYLENAMETEMPLATEROLEMSGENFONTSTYLENAMEBYROLETEXT"/>
          <w:sz w:val="20"/>
          <w:szCs w:val="20"/>
        </w:rPr>
      </w:pPr>
      <w:r w:rsidRPr="008840CD">
        <w:rPr>
          <w:rStyle w:val="MSGENFONTSTYLENAMETEMPLATEROLEMSGENFONTSTYLENAMEBYROLETEXT"/>
          <w:sz w:val="20"/>
          <w:szCs w:val="20"/>
        </w:rPr>
        <w:t>Sede: Setor de Clubes Esportivos Sul - SCES, Trecho 03, Lote 10, Projeto Orla Polo 8, Brasília/DF, CEP 70200-003.</w:t>
      </w:r>
    </w:p>
    <w:p w:rsidR="00A56638" w:rsidRPr="008840CD" w:rsidRDefault="00A56638" w:rsidP="00A566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Style w:val="MSGENFONTSTYLENAMETEMPLATEROLEMSGENFONTSTYLENAMEBYROLETEXT"/>
          <w:sz w:val="20"/>
          <w:szCs w:val="20"/>
        </w:rPr>
      </w:pPr>
    </w:p>
    <w:p w:rsidR="00235B52" w:rsidRPr="008840CD" w:rsidRDefault="00235B52" w:rsidP="00235B52">
      <w:pPr>
        <w:pStyle w:val="Schedule1"/>
        <w:spacing w:line="281" w:lineRule="auto"/>
        <w:rPr>
          <w:b/>
          <w:szCs w:val="20"/>
        </w:rPr>
      </w:pPr>
      <w:r w:rsidRPr="008840CD">
        <w:rPr>
          <w:b/>
          <w:szCs w:val="20"/>
        </w:rPr>
        <w:t>Objeto</w:t>
      </w:r>
      <w:r w:rsidR="00A56638" w:rsidRPr="008840CD">
        <w:rPr>
          <w:b/>
          <w:szCs w:val="20"/>
        </w:rPr>
        <w:t>:</w:t>
      </w:r>
      <w:r w:rsidRPr="008840CD">
        <w:rPr>
          <w:b/>
          <w:szCs w:val="20"/>
        </w:rPr>
        <w:t xml:space="preserve"> </w:t>
      </w:r>
    </w:p>
    <w:p w:rsidR="00A56638" w:rsidRPr="008840CD" w:rsidRDefault="00A56638" w:rsidP="00A56638">
      <w:pPr>
        <w:pStyle w:val="Schedule2"/>
        <w:tabs>
          <w:tab w:val="clear" w:pos="1580"/>
          <w:tab w:val="num" w:pos="1276"/>
        </w:tabs>
        <w:ind w:left="1276" w:hanging="709"/>
        <w:rPr>
          <w:szCs w:val="20"/>
        </w:rPr>
      </w:pPr>
      <w:r w:rsidRPr="008840CD">
        <w:rPr>
          <w:szCs w:val="20"/>
        </w:rPr>
        <w:t>Nos termos, valor e vigência dessa apólice, garantir as penalidades, indenizações e/ou multas devidas pela PROPONENTE no caso dela descumprir quaisquer de suas obrigações, condições e prazos decorrentes de Lei ou do EDITAL DE CONCESSÃO N° 01/2019.</w:t>
      </w:r>
    </w:p>
    <w:p w:rsidR="00A56638" w:rsidRPr="008840CD" w:rsidRDefault="00A56638" w:rsidP="00235B52">
      <w:pPr>
        <w:pStyle w:val="Schedule1"/>
        <w:spacing w:line="281" w:lineRule="auto"/>
        <w:rPr>
          <w:b/>
          <w:szCs w:val="20"/>
        </w:rPr>
      </w:pPr>
      <w:r w:rsidRPr="008840CD">
        <w:rPr>
          <w:b/>
          <w:szCs w:val="20"/>
        </w:rPr>
        <w:t>Valor:</w:t>
      </w:r>
    </w:p>
    <w:p w:rsidR="00A56638" w:rsidRPr="008840CD" w:rsidRDefault="00A56638" w:rsidP="008840CD">
      <w:pPr>
        <w:pStyle w:val="Schedule1"/>
        <w:numPr>
          <w:ilvl w:val="0"/>
          <w:numId w:val="0"/>
        </w:numPr>
        <w:tabs>
          <w:tab w:val="left" w:pos="1276"/>
        </w:tabs>
        <w:spacing w:line="281" w:lineRule="auto"/>
        <w:ind w:left="1276" w:hanging="709"/>
        <w:rPr>
          <w:b/>
          <w:szCs w:val="20"/>
        </w:rPr>
      </w:pPr>
      <w:r w:rsidRPr="008840CD">
        <w:rPr>
          <w:b/>
          <w:szCs w:val="20"/>
        </w:rPr>
        <w:t xml:space="preserve">4.1.  </w:t>
      </w:r>
      <w:r w:rsidR="008840CD" w:rsidRPr="008840CD">
        <w:rPr>
          <w:b/>
          <w:szCs w:val="20"/>
        </w:rPr>
        <w:tab/>
      </w:r>
      <w:r w:rsidRPr="008840CD">
        <w:rPr>
          <w:szCs w:val="20"/>
        </w:rPr>
        <w:t>R$ 23.000.000,00 (vinte e três milhões de reais)</w:t>
      </w:r>
    </w:p>
    <w:p w:rsidR="00A56638" w:rsidRPr="008840CD" w:rsidRDefault="00A56638" w:rsidP="00235B52">
      <w:pPr>
        <w:pStyle w:val="Schedule1"/>
        <w:spacing w:line="281" w:lineRule="auto"/>
        <w:rPr>
          <w:b/>
          <w:szCs w:val="20"/>
        </w:rPr>
      </w:pPr>
      <w:r w:rsidRPr="008840CD">
        <w:rPr>
          <w:b/>
          <w:szCs w:val="20"/>
        </w:rPr>
        <w:t>Vigência:</w:t>
      </w:r>
    </w:p>
    <w:p w:rsidR="00A56638" w:rsidRPr="008840CD" w:rsidRDefault="00A56638" w:rsidP="008840CD">
      <w:pPr>
        <w:widowControl w:val="0"/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b/>
          <w:szCs w:val="20"/>
        </w:rPr>
        <w:t xml:space="preserve">5.1. </w:t>
      </w:r>
      <w:r w:rsidR="008840CD" w:rsidRPr="008840CD">
        <w:rPr>
          <w:b/>
          <w:szCs w:val="20"/>
        </w:rPr>
        <w:tab/>
      </w:r>
      <w:r w:rsidRPr="008840CD">
        <w:rPr>
          <w:rFonts w:cs="Arial"/>
          <w:szCs w:val="20"/>
        </w:rPr>
        <w:t>A Apólice tem vigência de 1 (um) ano.</w:t>
      </w:r>
    </w:p>
    <w:p w:rsidR="008840CD" w:rsidRPr="008840CD" w:rsidRDefault="008840CD" w:rsidP="008840CD">
      <w:pPr>
        <w:widowControl w:val="0"/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b/>
          <w:szCs w:val="20"/>
        </w:rPr>
        <w:t>5.</w:t>
      </w:r>
      <w:r w:rsidRPr="008840CD">
        <w:rPr>
          <w:rFonts w:cs="Arial"/>
          <w:szCs w:val="20"/>
        </w:rPr>
        <w:t xml:space="preserve">2. </w:t>
      </w:r>
      <w:r w:rsidRPr="008840CD">
        <w:rPr>
          <w:rFonts w:cs="Arial"/>
          <w:szCs w:val="20"/>
        </w:rPr>
        <w:tab/>
        <w:t xml:space="preserve">Início: às 24h </w:t>
      </w:r>
      <w:r w:rsidR="001A5BA7">
        <w:rPr>
          <w:rFonts w:cs="Arial"/>
          <w:szCs w:val="20"/>
        </w:rPr>
        <w:t>10 de setembro de 2019</w:t>
      </w:r>
      <w:r w:rsidRPr="008840CD">
        <w:rPr>
          <w:rFonts w:cs="Arial"/>
          <w:szCs w:val="20"/>
        </w:rPr>
        <w:t>.</w:t>
      </w:r>
    </w:p>
    <w:p w:rsidR="008840CD" w:rsidRPr="008840CD" w:rsidRDefault="008840CD" w:rsidP="008840CD">
      <w:pPr>
        <w:widowControl w:val="0"/>
        <w:tabs>
          <w:tab w:val="left" w:pos="708"/>
          <w:tab w:val="left" w:pos="1134"/>
          <w:tab w:val="left" w:pos="127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 xml:space="preserve">5.3. </w:t>
      </w:r>
      <w:r w:rsidRPr="008840CD">
        <w:rPr>
          <w:rFonts w:cs="Arial"/>
          <w:szCs w:val="20"/>
        </w:rPr>
        <w:tab/>
      </w:r>
      <w:r w:rsidRPr="008840CD">
        <w:rPr>
          <w:rFonts w:cs="Arial"/>
          <w:szCs w:val="20"/>
        </w:rPr>
        <w:tab/>
        <w:t xml:space="preserve">Término: às 24h de </w:t>
      </w:r>
      <w:r w:rsidR="001A5BA7">
        <w:rPr>
          <w:rFonts w:cs="Arial"/>
          <w:szCs w:val="20"/>
        </w:rPr>
        <w:t>11</w:t>
      </w:r>
      <w:r w:rsidRPr="008840CD">
        <w:rPr>
          <w:rFonts w:cs="Arial"/>
          <w:szCs w:val="20"/>
        </w:rPr>
        <w:t xml:space="preserve"> de </w:t>
      </w:r>
      <w:r w:rsidR="001A5BA7">
        <w:rPr>
          <w:rFonts w:cs="Arial"/>
          <w:szCs w:val="20"/>
        </w:rPr>
        <w:t>setembro</w:t>
      </w:r>
      <w:r w:rsidRPr="008840CD">
        <w:rPr>
          <w:rFonts w:cs="Arial"/>
          <w:szCs w:val="20"/>
        </w:rPr>
        <w:t xml:space="preserve"> de 2020.</w:t>
      </w:r>
    </w:p>
    <w:p w:rsidR="008840CD" w:rsidRPr="008840CD" w:rsidRDefault="008840CD" w:rsidP="008840CD">
      <w:pPr>
        <w:widowControl w:val="0"/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 xml:space="preserve">5.4. </w:t>
      </w:r>
      <w:r w:rsidRPr="008840CD">
        <w:rPr>
          <w:rFonts w:cs="Arial"/>
          <w:szCs w:val="20"/>
        </w:rPr>
        <w:tab/>
        <w:t>As apólices e endossos tem seu início e término de vigência às 24hs das datas para tal fim neles indicadas.</w:t>
      </w:r>
    </w:p>
    <w:p w:rsidR="008840CD" w:rsidRPr="008840CD" w:rsidRDefault="008840CD" w:rsidP="008840CD">
      <w:pPr>
        <w:widowControl w:val="0"/>
        <w:tabs>
          <w:tab w:val="left" w:pos="708"/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</w:p>
    <w:p w:rsidR="008840CD" w:rsidRPr="008840CD" w:rsidRDefault="008840CD" w:rsidP="008840CD">
      <w:pPr>
        <w:pStyle w:val="Schedule1"/>
        <w:rPr>
          <w:b/>
          <w:szCs w:val="20"/>
        </w:rPr>
      </w:pPr>
      <w:r w:rsidRPr="008840CD">
        <w:rPr>
          <w:b/>
          <w:szCs w:val="20"/>
        </w:rPr>
        <w:t>CAPÍTULO I: CONDIÇÕES GERAIS</w:t>
      </w:r>
    </w:p>
    <w:p w:rsidR="008840CD" w:rsidRPr="008840CD" w:rsidRDefault="008840CD" w:rsidP="008840CD">
      <w:pPr>
        <w:pStyle w:val="Schedule2"/>
        <w:tabs>
          <w:tab w:val="clear" w:pos="1580"/>
          <w:tab w:val="num" w:pos="1276"/>
        </w:tabs>
        <w:ind w:hanging="1013"/>
        <w:rPr>
          <w:szCs w:val="20"/>
        </w:rPr>
      </w:pPr>
      <w:r w:rsidRPr="008840CD">
        <w:rPr>
          <w:szCs w:val="20"/>
        </w:rPr>
        <w:t>CIRCULAR SUSEP 477, DE 30 DE SETEMBRO DE 2013.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ANEXO I.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SEGURO GARANTIA.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CAPÍTULO I: CONDIÇÕES GERAIS.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RAMO 0775: SEGURADO SETOR PÚBLICO.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(Cláusulas integrais de 1 a 19 conforme modelo da circular).</w:t>
      </w:r>
    </w:p>
    <w:p w:rsidR="00A56638" w:rsidRPr="008840CD" w:rsidRDefault="00A56638" w:rsidP="008840CD">
      <w:pPr>
        <w:pStyle w:val="Schedule1"/>
        <w:numPr>
          <w:ilvl w:val="0"/>
          <w:numId w:val="0"/>
        </w:numPr>
        <w:spacing w:line="281" w:lineRule="auto"/>
        <w:ind w:left="567"/>
        <w:rPr>
          <w:b/>
          <w:szCs w:val="20"/>
        </w:rPr>
      </w:pPr>
    </w:p>
    <w:p w:rsidR="008840CD" w:rsidRPr="008840CD" w:rsidRDefault="008840CD" w:rsidP="008840CD">
      <w:pPr>
        <w:pStyle w:val="Schedule1"/>
        <w:rPr>
          <w:b/>
          <w:szCs w:val="20"/>
        </w:rPr>
      </w:pPr>
      <w:r w:rsidRPr="008840CD">
        <w:rPr>
          <w:b/>
          <w:szCs w:val="20"/>
        </w:rPr>
        <w:t>CAPÍTULO II: CONDIÇÕES ESPECIAIS</w:t>
      </w:r>
    </w:p>
    <w:p w:rsidR="008840CD" w:rsidRPr="008840CD" w:rsidRDefault="008840CD" w:rsidP="008840CD">
      <w:pPr>
        <w:pStyle w:val="Schedule2"/>
        <w:tabs>
          <w:tab w:val="clear" w:pos="1580"/>
          <w:tab w:val="num" w:pos="1276"/>
        </w:tabs>
        <w:ind w:hanging="1013"/>
        <w:rPr>
          <w:szCs w:val="20"/>
        </w:rPr>
      </w:pPr>
      <w:r w:rsidRPr="008840CD">
        <w:rPr>
          <w:szCs w:val="20"/>
        </w:rPr>
        <w:t>CIRCULAR SUSEP 477, DE 30 DE SETEMBRO DE 2013.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ANEXO I.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SEGURO GARANTIA.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CAPÍTULO II: CONDIÇÕES ESPECIAIS.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RAMO 0775: SEGURADO SETOR PÚBLICO.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MODALIDADE I: SEGURO GARANTIA DO LICITANTE.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567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(Cláusulas integrais de 1 a 5 conforme modelo da circular).</w:t>
      </w:r>
    </w:p>
    <w:p w:rsidR="00A56638" w:rsidRDefault="00A56638" w:rsidP="008840CD">
      <w:pPr>
        <w:pStyle w:val="Schedule1"/>
        <w:numPr>
          <w:ilvl w:val="0"/>
          <w:numId w:val="0"/>
        </w:numPr>
        <w:spacing w:line="281" w:lineRule="auto"/>
        <w:ind w:left="567"/>
        <w:rPr>
          <w:b/>
          <w:szCs w:val="20"/>
        </w:rPr>
      </w:pPr>
    </w:p>
    <w:p w:rsidR="00E93B18" w:rsidRPr="008840CD" w:rsidRDefault="00E93B18" w:rsidP="008840CD">
      <w:pPr>
        <w:pStyle w:val="Schedule1"/>
        <w:numPr>
          <w:ilvl w:val="0"/>
          <w:numId w:val="0"/>
        </w:numPr>
        <w:spacing w:line="281" w:lineRule="auto"/>
        <w:ind w:left="567"/>
        <w:rPr>
          <w:b/>
          <w:szCs w:val="20"/>
        </w:rPr>
      </w:pPr>
    </w:p>
    <w:p w:rsidR="008840CD" w:rsidRPr="008840CD" w:rsidRDefault="008840CD" w:rsidP="008840CD">
      <w:pPr>
        <w:pStyle w:val="Schedule1"/>
        <w:rPr>
          <w:b/>
          <w:szCs w:val="20"/>
        </w:rPr>
      </w:pPr>
      <w:r w:rsidRPr="008840CD">
        <w:rPr>
          <w:b/>
          <w:szCs w:val="20"/>
        </w:rPr>
        <w:lastRenderedPageBreak/>
        <w:t>CONDIÇÕES PARTICULARES</w:t>
      </w:r>
    </w:p>
    <w:p w:rsidR="008840CD" w:rsidRPr="008840CD" w:rsidRDefault="008840CD" w:rsidP="008840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360"/>
        <w:jc w:val="both"/>
        <w:rPr>
          <w:rFonts w:cs="Arial"/>
          <w:szCs w:val="20"/>
        </w:rPr>
      </w:pPr>
      <w:r w:rsidRPr="008840CD">
        <w:rPr>
          <w:rFonts w:cs="Arial"/>
          <w:szCs w:val="20"/>
        </w:rPr>
        <w:t>Disposições Adicionais:</w:t>
      </w:r>
    </w:p>
    <w:p w:rsidR="008840CD" w:rsidRPr="008840CD" w:rsidRDefault="008840CD" w:rsidP="008840CD">
      <w:pPr>
        <w:widowControl w:val="0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276" w:hanging="709"/>
        <w:jc w:val="both"/>
        <w:rPr>
          <w:szCs w:val="20"/>
        </w:rPr>
      </w:pPr>
      <w:r w:rsidRPr="008840CD">
        <w:rPr>
          <w:b/>
          <w:szCs w:val="20"/>
        </w:rPr>
        <w:t>8.1.</w:t>
      </w:r>
      <w:r w:rsidRPr="008840CD">
        <w:rPr>
          <w:szCs w:val="20"/>
        </w:rPr>
        <w:t xml:space="preserve"> </w:t>
      </w:r>
      <w:r w:rsidRPr="008840CD">
        <w:rPr>
          <w:szCs w:val="20"/>
        </w:rPr>
        <w:tab/>
        <w:t>A Seguradora declara expressamente conhecer e aceitar o EDITAL DE CONCESSÃO N° 01/2019 e seus ANEXOS.</w:t>
      </w:r>
    </w:p>
    <w:p w:rsidR="008840CD" w:rsidRPr="008840CD" w:rsidRDefault="008840CD" w:rsidP="008840CD">
      <w:pPr>
        <w:widowControl w:val="0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276" w:hanging="709"/>
        <w:jc w:val="both"/>
        <w:rPr>
          <w:szCs w:val="20"/>
        </w:rPr>
      </w:pPr>
      <w:r w:rsidRPr="008840CD">
        <w:rPr>
          <w:b/>
          <w:szCs w:val="20"/>
        </w:rPr>
        <w:t>8.2.</w:t>
      </w:r>
      <w:r w:rsidRPr="008840CD">
        <w:rPr>
          <w:szCs w:val="20"/>
        </w:rPr>
        <w:t xml:space="preserve"> </w:t>
      </w:r>
      <w:r w:rsidRPr="008840CD">
        <w:rPr>
          <w:szCs w:val="20"/>
        </w:rPr>
        <w:tab/>
        <w:t>A Seguradora declara que efetua o pagamento dos montantes aqui previstos no prazo máximo de 30 (trinta) dias, contados a partir da data de entrega dos documentos relacionados na apólice pela Seguradora como necessários à caracterização e à regulação do sinistro.</w:t>
      </w:r>
    </w:p>
    <w:p w:rsidR="008840CD" w:rsidRPr="008840CD" w:rsidRDefault="008840CD" w:rsidP="008840CD">
      <w:pPr>
        <w:widowControl w:val="0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276" w:hanging="709"/>
        <w:jc w:val="both"/>
        <w:rPr>
          <w:szCs w:val="20"/>
        </w:rPr>
      </w:pPr>
      <w:r w:rsidRPr="008840CD">
        <w:rPr>
          <w:b/>
          <w:szCs w:val="20"/>
        </w:rPr>
        <w:t>8.3.</w:t>
      </w:r>
      <w:r w:rsidRPr="008840CD">
        <w:rPr>
          <w:szCs w:val="20"/>
        </w:rPr>
        <w:t xml:space="preserve"> </w:t>
      </w:r>
      <w:r w:rsidRPr="008840CD">
        <w:rPr>
          <w:szCs w:val="20"/>
        </w:rPr>
        <w:tab/>
        <w:t>Confirmado o descumprimento pela PROPONENTE das obrigações cobertas pela Apólice de Seguro Garantia e documentos relacionados, o Segurado tem direito de exigir da Seguradora a indenização devida, quando resultar infrutífera a notificação feita à PROPONENTE.</w:t>
      </w:r>
    </w:p>
    <w:p w:rsidR="008840CD" w:rsidRPr="008840CD" w:rsidRDefault="008840CD" w:rsidP="008840CD">
      <w:pPr>
        <w:widowControl w:val="0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276" w:hanging="709"/>
        <w:jc w:val="both"/>
        <w:rPr>
          <w:szCs w:val="20"/>
        </w:rPr>
      </w:pPr>
      <w:r w:rsidRPr="008840CD">
        <w:rPr>
          <w:b/>
          <w:szCs w:val="20"/>
        </w:rPr>
        <w:t>8.4.</w:t>
      </w:r>
      <w:r w:rsidRPr="008840CD">
        <w:rPr>
          <w:szCs w:val="20"/>
        </w:rPr>
        <w:t xml:space="preserve"> </w:t>
      </w:r>
      <w:r w:rsidRPr="008840CD">
        <w:rPr>
          <w:szCs w:val="20"/>
        </w:rPr>
        <w:tab/>
        <w:t>Os termos que não tenham sido expressamente definidos neste documento têm os significados a eles atribuídos no EDITAL.</w:t>
      </w:r>
    </w:p>
    <w:p w:rsidR="008840CD" w:rsidRPr="008840CD" w:rsidRDefault="008840CD" w:rsidP="008840CD">
      <w:pPr>
        <w:widowControl w:val="0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276" w:hanging="709"/>
        <w:jc w:val="both"/>
        <w:rPr>
          <w:szCs w:val="20"/>
        </w:rPr>
      </w:pPr>
      <w:r w:rsidRPr="008840CD">
        <w:rPr>
          <w:b/>
          <w:szCs w:val="20"/>
        </w:rPr>
        <w:t>8.5.</w:t>
      </w:r>
      <w:r w:rsidRPr="008840CD">
        <w:rPr>
          <w:szCs w:val="20"/>
        </w:rPr>
        <w:t xml:space="preserve"> </w:t>
      </w:r>
      <w:r w:rsidRPr="008840CD">
        <w:rPr>
          <w:szCs w:val="20"/>
        </w:rPr>
        <w:tab/>
        <w:t>A PROPONENTE, PROPONENTE VENCEDORA que atuar em desconformidade com o descrito no EDITAL, perde o valor integral da GARANTIA DE PROPOSTA em favor da Beneficiária.</w:t>
      </w:r>
    </w:p>
    <w:p w:rsidR="008840CD" w:rsidRPr="008840CD" w:rsidRDefault="008840CD" w:rsidP="008840CD">
      <w:pPr>
        <w:widowControl w:val="0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276" w:hanging="709"/>
        <w:jc w:val="both"/>
        <w:rPr>
          <w:szCs w:val="20"/>
        </w:rPr>
      </w:pPr>
      <w:r w:rsidRPr="008840CD">
        <w:rPr>
          <w:b/>
          <w:szCs w:val="20"/>
        </w:rPr>
        <w:t>8.6.</w:t>
      </w:r>
      <w:r w:rsidRPr="008840CD">
        <w:rPr>
          <w:szCs w:val="20"/>
        </w:rPr>
        <w:t xml:space="preserve"> </w:t>
      </w:r>
      <w:r w:rsidRPr="008840CD">
        <w:rPr>
          <w:szCs w:val="20"/>
        </w:rPr>
        <w:tab/>
        <w:t>Em caso de CONSÓRCIO: A PROPONENTE TOMADORA é CONSORCIADA do CONSÓRCIO [denominação do CONSÓRCIO], composto pelas CONSORCIADAS: [Razão Social, CNPJ, e percentuais de participação de cada CONSORCIADA no CONSÓRCIO].</w:t>
      </w:r>
    </w:p>
    <w:p w:rsidR="008840CD" w:rsidRPr="008840CD" w:rsidRDefault="008840CD" w:rsidP="008840CD">
      <w:pPr>
        <w:widowControl w:val="0"/>
        <w:tabs>
          <w:tab w:val="left" w:pos="127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276" w:hanging="709"/>
        <w:jc w:val="both"/>
        <w:rPr>
          <w:szCs w:val="20"/>
        </w:rPr>
      </w:pPr>
      <w:r w:rsidRPr="008840CD">
        <w:rPr>
          <w:b/>
          <w:szCs w:val="20"/>
        </w:rPr>
        <w:t>8.7.</w:t>
      </w:r>
      <w:r w:rsidRPr="008840CD">
        <w:rPr>
          <w:szCs w:val="20"/>
        </w:rPr>
        <w:tab/>
        <w:t xml:space="preserve"> Ratificam-se integralmente as disposições das Condições Especiais e Gerais que não tenham sido alteradas pelas presentes Condições Particulares.</w:t>
      </w:r>
    </w:p>
    <w:p w:rsidR="008840CD" w:rsidRPr="008840CD" w:rsidRDefault="008840CD" w:rsidP="008840CD">
      <w:pPr>
        <w:pStyle w:val="Schedule1"/>
        <w:numPr>
          <w:ilvl w:val="0"/>
          <w:numId w:val="0"/>
        </w:numPr>
        <w:ind w:left="567"/>
        <w:rPr>
          <w:szCs w:val="20"/>
        </w:rPr>
      </w:pPr>
      <w:bookmarkStart w:id="6" w:name="_GoBack"/>
      <w:bookmarkEnd w:id="6"/>
    </w:p>
    <w:sectPr w:rsidR="008840CD" w:rsidRPr="008840CD" w:rsidSect="007077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968C0B78"/>
    <w:lvl w:ilvl="0">
      <w:start w:val="1"/>
      <w:numFmt w:val="decimal"/>
      <w:pStyle w:val="Schedule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eastAsia"/>
        <w:b/>
        <w:i w:val="0"/>
        <w:spacing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1580"/>
        </w:tabs>
        <w:ind w:left="1580" w:hanging="680"/>
      </w:pPr>
      <w:rPr>
        <w:rFonts w:cs="Times New Roman" w:hint="eastAsia"/>
        <w:b/>
        <w:i w:val="0"/>
        <w:spacing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eastAsia"/>
        <w:b/>
        <w:i w:val="0"/>
        <w:spacing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eastAsia"/>
        <w:spacing w:val="0"/>
      </w:rPr>
    </w:lvl>
    <w:lvl w:ilvl="4">
      <w:start w:val="1"/>
      <w:numFmt w:val="decimal"/>
      <w:pStyle w:val="Schedule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eastAsia"/>
        <w:spacing w:val="0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eastAsia"/>
        <w:spacing w:val="0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eastAsia"/>
        <w:spacing w:val="0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eastAsia"/>
        <w:spacing w:val="0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eastAsia"/>
        <w:spacing w:val="0"/>
      </w:rPr>
    </w:lvl>
  </w:abstractNum>
  <w:abstractNum w:abstractNumId="1">
    <w:nsid w:val="43C10CEB"/>
    <w:multiLevelType w:val="multilevel"/>
    <w:tmpl w:val="97565C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74D01D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6946AF0"/>
    <w:multiLevelType w:val="multilevel"/>
    <w:tmpl w:val="75B87DF6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color w:val="auto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>
    <w:nsid w:val="7D243298"/>
    <w:multiLevelType w:val="multilevel"/>
    <w:tmpl w:val="6726A1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35B52"/>
    <w:rsid w:val="001A5BA7"/>
    <w:rsid w:val="00235B52"/>
    <w:rsid w:val="0070778D"/>
    <w:rsid w:val="008840CD"/>
    <w:rsid w:val="00A56638"/>
    <w:rsid w:val="00C77E45"/>
    <w:rsid w:val="00D41C51"/>
    <w:rsid w:val="00E93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B52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">
    <w:name w:val="Body"/>
    <w:basedOn w:val="Normal"/>
    <w:rsid w:val="00235B52"/>
    <w:pPr>
      <w:spacing w:after="140" w:line="290" w:lineRule="auto"/>
      <w:jc w:val="both"/>
    </w:pPr>
    <w:rPr>
      <w:kern w:val="20"/>
    </w:rPr>
  </w:style>
  <w:style w:type="paragraph" w:customStyle="1" w:styleId="CellHead">
    <w:name w:val="CellHead"/>
    <w:basedOn w:val="Normal"/>
    <w:rsid w:val="00235B52"/>
    <w:pPr>
      <w:keepNext/>
      <w:spacing w:before="60" w:after="60" w:line="259" w:lineRule="auto"/>
    </w:pPr>
    <w:rPr>
      <w:b/>
      <w:kern w:val="20"/>
    </w:rPr>
  </w:style>
  <w:style w:type="paragraph" w:customStyle="1" w:styleId="SchedApps">
    <w:name w:val="Sched/Apps"/>
    <w:basedOn w:val="Normal"/>
    <w:next w:val="Body"/>
    <w:rsid w:val="00235B52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CellBody">
    <w:name w:val="CellBody"/>
    <w:basedOn w:val="Normal"/>
    <w:rsid w:val="00235B52"/>
    <w:pPr>
      <w:spacing w:before="60" w:after="60" w:line="290" w:lineRule="auto"/>
    </w:pPr>
    <w:rPr>
      <w:kern w:val="20"/>
      <w:szCs w:val="20"/>
    </w:rPr>
  </w:style>
  <w:style w:type="paragraph" w:customStyle="1" w:styleId="Level1">
    <w:name w:val="Level 1"/>
    <w:basedOn w:val="Normal"/>
    <w:rsid w:val="00235B52"/>
    <w:pPr>
      <w:numPr>
        <w:numId w:val="2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2">
    <w:name w:val="Level 2"/>
    <w:basedOn w:val="Normal"/>
    <w:rsid w:val="00235B52"/>
    <w:pPr>
      <w:numPr>
        <w:ilvl w:val="1"/>
        <w:numId w:val="2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rsid w:val="00235B52"/>
    <w:pPr>
      <w:numPr>
        <w:ilvl w:val="2"/>
        <w:numId w:val="2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rsid w:val="00235B52"/>
    <w:pPr>
      <w:numPr>
        <w:ilvl w:val="3"/>
        <w:numId w:val="2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rsid w:val="00235B52"/>
    <w:pPr>
      <w:numPr>
        <w:ilvl w:val="4"/>
        <w:numId w:val="2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235B52"/>
    <w:pPr>
      <w:numPr>
        <w:ilvl w:val="5"/>
        <w:numId w:val="2"/>
      </w:numPr>
      <w:spacing w:after="140" w:line="290" w:lineRule="auto"/>
      <w:jc w:val="both"/>
    </w:pPr>
    <w:rPr>
      <w:kern w:val="20"/>
    </w:rPr>
  </w:style>
  <w:style w:type="paragraph" w:customStyle="1" w:styleId="Schedule1">
    <w:name w:val="Schedule 1"/>
    <w:basedOn w:val="Normal"/>
    <w:rsid w:val="00235B52"/>
    <w:pPr>
      <w:numPr>
        <w:numId w:val="1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235B52"/>
    <w:pPr>
      <w:numPr>
        <w:ilvl w:val="1"/>
        <w:numId w:val="1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235B52"/>
    <w:pPr>
      <w:numPr>
        <w:ilvl w:val="2"/>
        <w:numId w:val="1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235B52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235B52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235B52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7">
    <w:name w:val="Level 7"/>
    <w:basedOn w:val="Normal"/>
    <w:rsid w:val="00235B52"/>
    <w:pPr>
      <w:numPr>
        <w:ilvl w:val="6"/>
        <w:numId w:val="2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235B52"/>
    <w:pPr>
      <w:numPr>
        <w:ilvl w:val="7"/>
        <w:numId w:val="2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235B52"/>
    <w:pPr>
      <w:numPr>
        <w:ilvl w:val="8"/>
        <w:numId w:val="2"/>
      </w:numPr>
      <w:spacing w:after="140" w:line="290" w:lineRule="auto"/>
      <w:jc w:val="both"/>
      <w:outlineLvl w:val="8"/>
    </w:pPr>
    <w:rPr>
      <w:kern w:val="20"/>
    </w:rPr>
  </w:style>
  <w:style w:type="character" w:customStyle="1" w:styleId="MSGENFONTSTYLENAMETEMPLATEROLEMSGENFONTSTYLENAMEBYROLETEXT">
    <w:name w:val="MSG_EN_FONT_STYLE_NAME_TEMPLATE_ROLE MSG_EN_FONT_STYLE_NAME_BY_ROLE_TEXT_"/>
    <w:basedOn w:val="Fontepargpadro"/>
    <w:link w:val="MSGENFONTSTYLENAMETEMPLATEROLEMSGENFONTSTYLENAMEBYROLETEXT1"/>
    <w:locked/>
    <w:rsid w:val="00A56638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Normal"/>
    <w:link w:val="MSGENFONTSTYLENAMETEMPLATEROLEMSGENFONTSTYLENAMEBYROLETEXT"/>
    <w:rsid w:val="00A56638"/>
    <w:pPr>
      <w:widowControl w:val="0"/>
      <w:shd w:val="clear" w:color="auto" w:fill="FFFFFF"/>
      <w:spacing w:after="3300" w:line="0" w:lineRule="atLeast"/>
      <w:ind w:hanging="1020"/>
      <w:jc w:val="center"/>
    </w:pPr>
    <w:rPr>
      <w:rFonts w:eastAsia="Arial" w:cs="Arial"/>
      <w:sz w:val="19"/>
      <w:szCs w:val="19"/>
    </w:rPr>
  </w:style>
  <w:style w:type="paragraph" w:styleId="PargrafodaLista">
    <w:name w:val="List Paragraph"/>
    <w:basedOn w:val="Normal"/>
    <w:uiPriority w:val="34"/>
    <w:qFormat/>
    <w:rsid w:val="008840CD"/>
    <w:pPr>
      <w:widowControl w:val="0"/>
      <w:spacing w:before="100" w:after="100"/>
      <w:ind w:left="708"/>
    </w:pPr>
    <w:rPr>
      <w:rFonts w:ascii="Calibri" w:hAnsi="Calibri"/>
      <w:snapToGrid w:val="0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Pinheiro de Melo</dc:creator>
  <cp:lastModifiedBy>Andre Bisinotto</cp:lastModifiedBy>
  <cp:revision>2</cp:revision>
  <dcterms:created xsi:type="dcterms:W3CDTF">2019-06-18T21:27:00Z</dcterms:created>
  <dcterms:modified xsi:type="dcterms:W3CDTF">2019-06-18T21:27:00Z</dcterms:modified>
</cp:coreProperties>
</file>